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topLinePunct w:val="0"/>
        <w:bidi w:val="0"/>
        <w:snapToGrid/>
        <w:spacing w:line="540" w:lineRule="exact"/>
        <w:ind w:left="0" w:leftChars="0" w:right="0" w:rightChars="0"/>
        <w:jc w:val="center"/>
        <w:textAlignment w:val="auto"/>
        <w:rPr>
          <w:rFonts w:hint="default" w:ascii="黑体" w:hAnsi="黑体" w:eastAsia="黑体" w:cs="黑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千阳县第一批下放镇人民政府行政执法事项目录</w:t>
      </w:r>
    </w:p>
    <w:bookmarkEnd w:id="0"/>
    <w:tbl>
      <w:tblPr>
        <w:tblStyle w:val="10"/>
        <w:tblpPr w:leftFromText="180" w:rightFromText="180" w:vertAnchor="text" w:horzAnchor="page" w:tblpX="1257" w:tblpY="749"/>
        <w:tblOverlap w:val="never"/>
        <w:tblW w:w="14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806"/>
        <w:gridCol w:w="553"/>
        <w:gridCol w:w="4681"/>
        <w:gridCol w:w="4171"/>
        <w:gridCol w:w="696"/>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序号</w:t>
            </w:r>
          </w:p>
        </w:tc>
        <w:tc>
          <w:tcPr>
            <w:tcW w:w="1806" w:type="dxa"/>
            <w:vAlign w:val="center"/>
          </w:tcPr>
          <w:p>
            <w:pPr>
              <w:keepNext w:val="0"/>
              <w:keepLines w:val="0"/>
              <w:pageBreakBefore w:val="0"/>
              <w:widowControl w:val="0"/>
              <w:tabs>
                <w:tab w:val="left" w:pos="830"/>
              </w:tabs>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下放部门</w:t>
            </w:r>
          </w:p>
        </w:tc>
        <w:tc>
          <w:tcPr>
            <w:tcW w:w="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数量</w:t>
            </w:r>
          </w:p>
        </w:tc>
        <w:tc>
          <w:tcPr>
            <w:tcW w:w="46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行政执法事项名称</w:t>
            </w:r>
          </w:p>
        </w:tc>
        <w:tc>
          <w:tcPr>
            <w:tcW w:w="41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kern w:val="2"/>
                <w:sz w:val="24"/>
                <w:szCs w:val="24"/>
                <w:vertAlign w:val="baseline"/>
                <w:lang w:val="en-US" w:eastAsia="zh-CN" w:bidi="ar-SA"/>
              </w:rPr>
            </w:pPr>
            <w:r>
              <w:rPr>
                <w:rFonts w:hint="eastAsia" w:ascii="黑体" w:hAnsi="黑体" w:eastAsia="黑体" w:cs="黑体"/>
                <w:sz w:val="24"/>
                <w:szCs w:val="24"/>
                <w:vertAlign w:val="baseline"/>
                <w:lang w:val="en-US" w:eastAsia="zh-CN"/>
              </w:rPr>
              <w:t>设定依据</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val="en-US" w:eastAsia="zh-CN"/>
              </w:rPr>
              <w:t>承接</w:t>
            </w:r>
            <w:r>
              <w:rPr>
                <w:rFonts w:hint="eastAsia" w:ascii="黑体" w:hAnsi="黑体" w:eastAsia="黑体" w:cs="黑体"/>
                <w:sz w:val="24"/>
                <w:szCs w:val="24"/>
                <w:vertAlign w:val="baseline"/>
                <w:lang w:eastAsia="zh-CN"/>
              </w:rPr>
              <w:t>单位</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vertAlign w:val="baseline"/>
                <w:lang w:val="en-US" w:eastAsia="zh-CN"/>
              </w:rPr>
            </w:pPr>
            <w:r>
              <w:rPr>
                <w:rFonts w:hint="eastAsia" w:ascii="黑体" w:hAnsi="黑体" w:eastAsia="黑体" w:cs="黑体"/>
                <w:sz w:val="24"/>
                <w:szCs w:val="24"/>
                <w:vertAlign w:val="baseline"/>
                <w:lang w:val="en-US" w:eastAsia="zh-CN"/>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县民政局</w:t>
            </w:r>
          </w:p>
        </w:tc>
        <w:tc>
          <w:tcPr>
            <w:tcW w:w="55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1</w:t>
            </w:r>
          </w:p>
        </w:tc>
        <w:tc>
          <w:tcPr>
            <w:tcW w:w="468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对墓穴占地面积超过规定标准的处罚。</w:t>
            </w:r>
          </w:p>
        </w:tc>
        <w:tc>
          <w:tcPr>
            <w:tcW w:w="41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《殡葬管理条例》（国务院令第225号2012年11月修订）第十九条；《陕西省殡葬管理办法》（省政府令第60号2012年2月修订）第三十一条。</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各镇</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5"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县自然资源局</w:t>
            </w:r>
          </w:p>
        </w:tc>
        <w:tc>
          <w:tcPr>
            <w:tcW w:w="55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46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1.对临时用地期满之日起一年内未完成复垦或者未恢复种植条件，经责令限期改正逾期不改正的处罚。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kern w:val="2"/>
                <w:sz w:val="21"/>
                <w:szCs w:val="24"/>
                <w:lang w:val="en-US" w:eastAsia="zh-CN" w:bidi="ar-SA"/>
              </w:rPr>
            </w:pPr>
            <w:r>
              <w:rPr>
                <w:rFonts w:hint="eastAsia" w:ascii="仿宋_GB2312" w:hAnsi="仿宋_GB2312" w:eastAsia="仿宋_GB2312" w:cs="仿宋_GB2312"/>
                <w:sz w:val="24"/>
                <w:szCs w:val="24"/>
                <w:vertAlign w:val="baseline"/>
                <w:lang w:val="en-US" w:eastAsia="zh-CN"/>
              </w:rPr>
              <w:t>2.对在县城规划区以外的集镇规划区和村庄规划区内，未取得建设工程规划许可证或者未按照建设工程规划许可证的规定进行建设的处罚。</w:t>
            </w:r>
          </w:p>
        </w:tc>
        <w:tc>
          <w:tcPr>
            <w:tcW w:w="41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《中华人民共和国土地管理法》第七十六条；《中华人民共和国土地管理法实施条例》（国务院令第256号2021年7月修订）第二十条、第五十六条；《中华人民共和国城乡规划法》第六十四条。</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各镇</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vertAlign w:val="baseline"/>
                <w:lang w:val="en-US" w:eastAsia="zh-CN"/>
              </w:rPr>
              <w:t>2024年6月1日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序号</w:t>
            </w:r>
          </w:p>
        </w:tc>
        <w:tc>
          <w:tcPr>
            <w:tcW w:w="1806" w:type="dxa"/>
            <w:vAlign w:val="center"/>
          </w:tcPr>
          <w:p>
            <w:pPr>
              <w:keepNext w:val="0"/>
              <w:keepLines w:val="0"/>
              <w:pageBreakBefore w:val="0"/>
              <w:widowControl w:val="0"/>
              <w:tabs>
                <w:tab w:val="left" w:pos="830"/>
              </w:tabs>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下放部门</w:t>
            </w:r>
          </w:p>
        </w:tc>
        <w:tc>
          <w:tcPr>
            <w:tcW w:w="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黑体" w:hAnsi="黑体" w:eastAsia="黑体" w:cs="黑体"/>
                <w:sz w:val="24"/>
                <w:szCs w:val="24"/>
                <w:vertAlign w:val="baseline"/>
                <w:lang w:val="en-US" w:eastAsia="zh-CN"/>
              </w:rPr>
              <w:t>数量</w:t>
            </w:r>
          </w:p>
        </w:tc>
        <w:tc>
          <w:tcPr>
            <w:tcW w:w="46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黑体" w:hAnsi="黑体" w:eastAsia="黑体" w:cs="黑体"/>
                <w:sz w:val="24"/>
                <w:szCs w:val="24"/>
                <w:vertAlign w:val="baseline"/>
                <w:lang w:val="en-US" w:eastAsia="zh-CN"/>
              </w:rPr>
              <w:t>行政执法事项名称</w:t>
            </w:r>
          </w:p>
        </w:tc>
        <w:tc>
          <w:tcPr>
            <w:tcW w:w="41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黑体" w:hAnsi="黑体" w:eastAsia="黑体" w:cs="黑体"/>
                <w:sz w:val="24"/>
                <w:szCs w:val="24"/>
                <w:vertAlign w:val="baseline"/>
                <w:lang w:val="en-US" w:eastAsia="zh-CN"/>
              </w:rPr>
              <w:t>设定依据</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承接</w:t>
            </w:r>
            <w:r>
              <w:rPr>
                <w:rFonts w:hint="eastAsia" w:ascii="黑体" w:hAnsi="黑体" w:eastAsia="黑体" w:cs="黑体"/>
                <w:sz w:val="24"/>
                <w:szCs w:val="24"/>
                <w:vertAlign w:val="baseline"/>
                <w:lang w:eastAsia="zh-CN"/>
              </w:rPr>
              <w:t>单位</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3</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县生态环境局</w:t>
            </w:r>
          </w:p>
        </w:tc>
        <w:tc>
          <w:tcPr>
            <w:tcW w:w="55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sz w:val="24"/>
                <w:szCs w:val="24"/>
                <w:vertAlign w:val="baseline"/>
                <w:lang w:val="en-US" w:eastAsia="zh-CN"/>
              </w:rPr>
              <w:t>2</w:t>
            </w:r>
          </w:p>
        </w:tc>
        <w:tc>
          <w:tcPr>
            <w:tcW w:w="46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kern w:val="2"/>
                <w:sz w:val="24"/>
                <w:szCs w:val="24"/>
                <w:vertAlign w:val="baseline"/>
                <w:lang w:val="en-US" w:eastAsia="zh-CN" w:bidi="ar-SA"/>
              </w:rPr>
              <w:t>1.</w:t>
            </w:r>
            <w:r>
              <w:rPr>
                <w:rFonts w:hint="eastAsia" w:ascii="仿宋_GB2312" w:hAnsi="仿宋_GB2312" w:eastAsia="仿宋_GB2312" w:cs="仿宋_GB2312"/>
                <w:color w:val="auto"/>
                <w:sz w:val="24"/>
                <w:szCs w:val="24"/>
                <w:vertAlign w:val="baseline"/>
                <w:lang w:val="en-US" w:eastAsia="zh-CN"/>
              </w:rPr>
              <w:t>对饮用水水源保护区使用农药，丢弃农药、农药包装物或者清洗施药器械，以及在饮用水水源一级保护区使用化肥的处罚。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w:t>
            </w:r>
            <w:r>
              <w:rPr>
                <w:rFonts w:hint="eastAsia" w:ascii="仿宋_GB2312" w:hAnsi="仿宋_GB2312" w:eastAsia="仿宋_GB2312" w:cs="仿宋_GB2312"/>
                <w:color w:val="auto"/>
                <w:sz w:val="24"/>
                <w:szCs w:val="24"/>
                <w:vertAlign w:val="baseline"/>
                <w:lang w:val="en-US" w:eastAsia="zh-CN"/>
              </w:rPr>
              <w:t>对从事畜禽规模养殖未及时收集、贮存、利用或者处置养殖过程中产生的畜禽粪污等固体废物的罚款处罚。</w:t>
            </w:r>
          </w:p>
        </w:tc>
        <w:tc>
          <w:tcPr>
            <w:tcW w:w="4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vertAlign w:val="baseline"/>
                <w:lang w:val="en-US" w:eastAsia="zh-CN"/>
              </w:rPr>
              <w:t>《陕西省饮用水水源保护条例》第五十一条；《中华人民共和国固体废物污染环境防治法》第一百零七条。</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各镇</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4</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县住建局</w:t>
            </w:r>
          </w:p>
        </w:tc>
        <w:tc>
          <w:tcPr>
            <w:tcW w:w="55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3</w:t>
            </w:r>
          </w:p>
        </w:tc>
        <w:tc>
          <w:tcPr>
            <w:tcW w:w="4681" w:type="dxa"/>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left"/>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对违反规定在道路两侧的护栏、电线杆、树木、绿篱和公共场所等处晾晒、吊挂杂物的处罚。</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jc w:val="left"/>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color w:val="auto"/>
                <w:kern w:val="2"/>
                <w:sz w:val="24"/>
                <w:szCs w:val="24"/>
                <w:vertAlign w:val="baseline"/>
                <w:lang w:val="en-US" w:eastAsia="zh-CN" w:bidi="ar-SA"/>
              </w:rPr>
              <w:t>对在乡、村庄规划区内，建设基础设施、公共设施和企业生产经营性设施，未取得施工许可证进行建设的处罚。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left"/>
              <w:textAlignment w:val="auto"/>
              <w:rPr>
                <w:rFonts w:hint="eastAsia" w:ascii="仿宋_GB2312" w:hAnsi="仿宋_GB2312" w:eastAsia="仿宋_GB2312" w:cs="仿宋_GB2312"/>
                <w:kern w:val="2"/>
                <w:sz w:val="32"/>
                <w:szCs w:val="2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3.对在乡村公共饮用水源地建厕所、畜禽圈、污染型企业或者排放污水以及堆放垃圾和其他废弃物的处罚。</w:t>
            </w:r>
          </w:p>
        </w:tc>
        <w:tc>
          <w:tcPr>
            <w:tcW w:w="4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《陕西省城市市容环境卫生条例》第二十八条；《陕西省乡村规划建设条例》第三十条、第四十八条；《陕西省乡村规划建设条例》第四十二条、第五十一条。</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kern w:val="2"/>
                <w:sz w:val="24"/>
                <w:szCs w:val="24"/>
                <w:vertAlign w:val="baseline"/>
                <w:lang w:val="en-US" w:eastAsia="zh-CN" w:bidi="ar-SA"/>
              </w:rPr>
            </w:pP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各镇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p>
        </w:tc>
        <w:tc>
          <w:tcPr>
            <w:tcW w:w="193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序号</w:t>
            </w:r>
          </w:p>
        </w:tc>
        <w:tc>
          <w:tcPr>
            <w:tcW w:w="1806" w:type="dxa"/>
            <w:vAlign w:val="center"/>
          </w:tcPr>
          <w:p>
            <w:pPr>
              <w:keepNext w:val="0"/>
              <w:keepLines w:val="0"/>
              <w:pageBreakBefore w:val="0"/>
              <w:widowControl w:val="0"/>
              <w:tabs>
                <w:tab w:val="left" w:pos="830"/>
              </w:tabs>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下放部门</w:t>
            </w:r>
          </w:p>
        </w:tc>
        <w:tc>
          <w:tcPr>
            <w:tcW w:w="55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数量</w:t>
            </w:r>
          </w:p>
        </w:tc>
        <w:tc>
          <w:tcPr>
            <w:tcW w:w="468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行政执法事项名称</w:t>
            </w:r>
          </w:p>
        </w:tc>
        <w:tc>
          <w:tcPr>
            <w:tcW w:w="4171"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设定依据</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lang w:val="en-US" w:eastAsia="zh-CN" w:bidi="ar-SA"/>
              </w:rPr>
            </w:pPr>
            <w:r>
              <w:rPr>
                <w:rFonts w:hint="eastAsia" w:ascii="黑体" w:hAnsi="黑体" w:eastAsia="黑体" w:cs="黑体"/>
                <w:sz w:val="24"/>
                <w:szCs w:val="24"/>
                <w:vertAlign w:val="baseline"/>
                <w:lang w:val="en-US" w:eastAsia="zh-CN"/>
              </w:rPr>
              <w:t>承接</w:t>
            </w:r>
            <w:r>
              <w:rPr>
                <w:rFonts w:hint="eastAsia" w:ascii="黑体" w:hAnsi="黑体" w:eastAsia="黑体" w:cs="黑体"/>
                <w:sz w:val="24"/>
                <w:szCs w:val="24"/>
                <w:vertAlign w:val="baseline"/>
                <w:lang w:eastAsia="zh-CN"/>
              </w:rPr>
              <w:t>单位</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黑体" w:hAnsi="黑体" w:eastAsia="黑体" w:cs="黑体"/>
                <w:sz w:val="24"/>
                <w:szCs w:val="24"/>
                <w:vertAlign w:val="baseline"/>
                <w:lang w:val="en-US" w:eastAsia="zh-CN"/>
              </w:rPr>
              <w:t>实施时间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5</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县交通局</w:t>
            </w:r>
          </w:p>
        </w:tc>
        <w:tc>
          <w:tcPr>
            <w:tcW w:w="553"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仿宋_GB2312" w:hAnsi="仿宋_GB2312" w:eastAsia="仿宋_GB2312" w:cs="仿宋_GB2312"/>
                <w:color w:val="auto"/>
                <w:kern w:val="2"/>
                <w:sz w:val="24"/>
                <w:szCs w:val="24"/>
                <w:vertAlign w:val="baseline"/>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w:t>
            </w:r>
          </w:p>
        </w:tc>
        <w:tc>
          <w:tcPr>
            <w:tcW w:w="46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1.对擅自在农村公路上设卡、收费的处罚。</w:t>
            </w:r>
          </w:p>
          <w:p>
            <w:pPr>
              <w:pStyle w:val="1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rPr>
                <w:rFonts w:hint="eastAsia" w:ascii="仿宋_GB2312" w:hAnsi="仿宋_GB2312" w:eastAsia="仿宋_GB2312" w:cs="仿宋_GB2312"/>
                <w:color w:val="auto"/>
                <w:kern w:val="2"/>
                <w:sz w:val="32"/>
                <w:szCs w:val="24"/>
                <w:lang w:val="en-US" w:eastAsia="zh-CN" w:bidi="ar-SA"/>
              </w:rPr>
            </w:pPr>
            <w:r>
              <w:rPr>
                <w:rFonts w:hint="eastAsia" w:ascii="仿宋_GB2312" w:hAnsi="仿宋_GB2312" w:eastAsia="仿宋_GB2312" w:cs="仿宋_GB2312"/>
                <w:color w:val="auto"/>
                <w:kern w:val="2"/>
                <w:sz w:val="24"/>
                <w:szCs w:val="24"/>
                <w:vertAlign w:val="baseline"/>
                <w:lang w:val="en-US" w:eastAsia="zh-CN" w:bidi="ar-SA"/>
              </w:rPr>
              <w:t>2.对未经批准更新采伐农村公路护路林的处罚。</w:t>
            </w:r>
          </w:p>
        </w:tc>
        <w:tc>
          <w:tcPr>
            <w:tcW w:w="417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color w:val="auto"/>
                <w:kern w:val="0"/>
                <w:sz w:val="24"/>
                <w:szCs w:val="20"/>
                <w:lang w:val="en-US" w:eastAsia="zh-CN" w:bidi="ar-SA"/>
              </w:rPr>
            </w:pPr>
            <w:r>
              <w:rPr>
                <w:rFonts w:hint="eastAsia" w:ascii="仿宋_GB2312" w:hAnsi="仿宋_GB2312" w:eastAsia="仿宋_GB2312" w:cs="仿宋_GB2312"/>
                <w:color w:val="auto"/>
                <w:sz w:val="24"/>
                <w:szCs w:val="24"/>
                <w:vertAlign w:val="baseline"/>
                <w:lang w:val="en-US" w:eastAsia="zh-CN"/>
              </w:rPr>
              <w:t>《中华人民共和国公路法》第七十四条；《公路安全保护条例》（国务院令第593号）第六十一条。</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各镇</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532"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6</w:t>
            </w:r>
          </w:p>
        </w:tc>
        <w:tc>
          <w:tcPr>
            <w:tcW w:w="180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县农业农村局</w:t>
            </w:r>
          </w:p>
        </w:tc>
        <w:tc>
          <w:tcPr>
            <w:tcW w:w="55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w:t>
            </w:r>
          </w:p>
        </w:tc>
        <w:tc>
          <w:tcPr>
            <w:tcW w:w="4681"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对农村村民未经批准或者采取欺骗手段骗取批准，非法占用土地建住宅的处罚。</w:t>
            </w:r>
          </w:p>
        </w:tc>
        <w:tc>
          <w:tcPr>
            <w:tcW w:w="4171" w:type="dxa"/>
            <w:vAlign w:val="center"/>
          </w:tcPr>
          <w:p>
            <w:pPr>
              <w:pStyle w:val="1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vertAlign w:val="baseline"/>
                <w:lang w:val="en-US" w:eastAsia="zh-CN" w:bidi="ar-SA"/>
              </w:rPr>
              <w:t>《中华人民共和国土地管理法》第七十八条、第八十三条。</w:t>
            </w:r>
          </w:p>
        </w:tc>
        <w:tc>
          <w:tcPr>
            <w:tcW w:w="696"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各镇</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center"/>
              <w:textAlignment w:val="auto"/>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2024年6月1日</w:t>
            </w:r>
          </w:p>
        </w:tc>
      </w:tr>
    </w:tbl>
    <w:p>
      <w:pPr>
        <w:keepNext w:val="0"/>
        <w:keepLines w:val="0"/>
        <w:pageBreakBefore w:val="0"/>
        <w:widowControl w:val="0"/>
        <w:kinsoku/>
        <w:wordWrap/>
        <w:topLinePunct w:val="0"/>
        <w:bidi w:val="0"/>
        <w:snapToGrid/>
        <w:spacing w:line="540" w:lineRule="exact"/>
        <w:ind w:left="0" w:leftChars="0" w:right="0" w:rightChars="0"/>
        <w:textAlignment w:val="auto"/>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footerReference r:id="rId4" w:type="even"/>
          <w:pgSz w:w="16838" w:h="11906" w:orient="landscape"/>
          <w:pgMar w:top="1587" w:right="2098" w:bottom="1474" w:left="1984" w:header="851" w:footer="1417" w:gutter="0"/>
          <w:pgNumType w:fmt="numberInDash"/>
          <w:cols w:space="0" w:num="1"/>
          <w:docGrid w:type="linesAndChars" w:linePitch="631" w:charSpace="-849"/>
        </w:sectPr>
      </w:pPr>
    </w:p>
    <w:p>
      <w:pPr>
        <w:bidi w:val="0"/>
        <w:jc w:val="left"/>
        <w:rPr>
          <w:rFonts w:hint="eastAsia"/>
          <w:lang w:val="en-US" w:eastAsia="zh-CN"/>
        </w:rPr>
      </w:pPr>
    </w:p>
    <w:sectPr>
      <w:footerReference r:id="rId5" w:type="default"/>
      <w:footerReference r:id="rId6" w:type="even"/>
      <w:pgSz w:w="11906" w:h="16838"/>
      <w:pgMar w:top="2098" w:right="1474" w:bottom="1417" w:left="1587" w:header="851" w:footer="1417" w:gutter="0"/>
      <w:pgNumType w:fmt="numberInDash"/>
      <w:cols w:space="0" w:num="1"/>
      <w:docGrid w:type="linesAndChars" w:linePitch="631"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0" w:leftChars="0" w:right="320" w:rightChars="100" w:firstLine="0" w:firstLineChars="0"/>
      <w:outlineLvl w:val="9"/>
      <w:rPr>
        <w:rFonts w:hint="eastAsia" w:ascii="宋体" w:hAnsi="宋体" w:eastAsia="宋体" w:cs="宋体"/>
        <w:sz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320" w:leftChars="100" w:right="0" w:rightChars="0" w:firstLine="0" w:firstLineChars="0"/>
      <w:outlineLvl w:val="9"/>
      <w:rPr>
        <w:rFonts w:hint="eastAsia" w:ascii="宋体" w:hAnsi="宋体" w:eastAsia="宋体" w:cs="宋体"/>
        <w:sz w:val="28"/>
        <w:lang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0" w:leftChars="0" w:right="320" w:rightChars="100" w:firstLine="0" w:firstLineChars="0"/>
      <w:outlineLvl w:val="9"/>
      <w:rPr>
        <w:rFonts w:hint="eastAsia" w:ascii="宋体" w:hAnsi="宋体" w:eastAsia="宋体" w:cs="宋体"/>
        <w:sz w:val="2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autoSpaceDE/>
      <w:autoSpaceDN/>
      <w:adjustRightInd/>
      <w:snapToGrid/>
      <w:spacing w:beforeAutospacing="0" w:afterAutospacing="0" w:line="240" w:lineRule="auto"/>
      <w:ind w:left="320" w:leftChars="100" w:right="0" w:rightChars="0" w:firstLine="0" w:firstLineChars="0"/>
      <w:outlineLvl w:val="9"/>
      <w:rPr>
        <w:rFonts w:hint="eastAsia" w:ascii="宋体" w:hAnsi="宋体" w:eastAsia="宋体" w:cs="宋体"/>
        <w:sz w:val="2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4807F"/>
    <w:multiLevelType w:val="singleLevel"/>
    <w:tmpl w:val="C3D4807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mirrorMargins w:val="1"/>
  <w:bordersDoNotSurroundHeader w:val="0"/>
  <w:bordersDoNotSurroundFooter w:val="0"/>
  <w:documentProtection w:enforcement="0"/>
  <w:defaultTabStop w:val="420"/>
  <w:evenAndOddHeaders w:val="1"/>
  <w:drawingGridHorizontalSpacing w:val="158"/>
  <w:drawingGridVerticalSpacing w:val="315"/>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3ZDUxMGE5ZmUyZTI4N2U1MGZkY2FkYjNiMDMzM2QifQ=="/>
  </w:docVars>
  <w:rsids>
    <w:rsidRoot w:val="2257255F"/>
    <w:rsid w:val="006E4A62"/>
    <w:rsid w:val="009F61A0"/>
    <w:rsid w:val="00D96D68"/>
    <w:rsid w:val="014B2A57"/>
    <w:rsid w:val="02301B7D"/>
    <w:rsid w:val="02A9251A"/>
    <w:rsid w:val="03E17DA8"/>
    <w:rsid w:val="05530BA4"/>
    <w:rsid w:val="05A30C46"/>
    <w:rsid w:val="0600702F"/>
    <w:rsid w:val="06880378"/>
    <w:rsid w:val="07083BAF"/>
    <w:rsid w:val="083500D8"/>
    <w:rsid w:val="09B8606D"/>
    <w:rsid w:val="0A570314"/>
    <w:rsid w:val="0CBA3508"/>
    <w:rsid w:val="0D8479F7"/>
    <w:rsid w:val="0DC04A04"/>
    <w:rsid w:val="0DE0128D"/>
    <w:rsid w:val="0E2E6824"/>
    <w:rsid w:val="0EED25FB"/>
    <w:rsid w:val="0EF72750"/>
    <w:rsid w:val="0F4B40DD"/>
    <w:rsid w:val="0F4C635E"/>
    <w:rsid w:val="0FFE2023"/>
    <w:rsid w:val="1002294A"/>
    <w:rsid w:val="101F3682"/>
    <w:rsid w:val="10F2445E"/>
    <w:rsid w:val="11422C85"/>
    <w:rsid w:val="11AB00B6"/>
    <w:rsid w:val="135B6443"/>
    <w:rsid w:val="13C75E95"/>
    <w:rsid w:val="14527DD3"/>
    <w:rsid w:val="14757415"/>
    <w:rsid w:val="15770E2C"/>
    <w:rsid w:val="15836F86"/>
    <w:rsid w:val="15C77F54"/>
    <w:rsid w:val="17716EB9"/>
    <w:rsid w:val="1912797C"/>
    <w:rsid w:val="197255CC"/>
    <w:rsid w:val="198C65F8"/>
    <w:rsid w:val="1AE52695"/>
    <w:rsid w:val="1C56042C"/>
    <w:rsid w:val="1C8E27E9"/>
    <w:rsid w:val="1CFC0FD3"/>
    <w:rsid w:val="1E1B45E6"/>
    <w:rsid w:val="1F127786"/>
    <w:rsid w:val="1F9E2793"/>
    <w:rsid w:val="1FDD76E8"/>
    <w:rsid w:val="20AA09D1"/>
    <w:rsid w:val="21A47C3E"/>
    <w:rsid w:val="222A69CB"/>
    <w:rsid w:val="2257255F"/>
    <w:rsid w:val="23243032"/>
    <w:rsid w:val="23B767E8"/>
    <w:rsid w:val="23E9569E"/>
    <w:rsid w:val="25595D41"/>
    <w:rsid w:val="259A5575"/>
    <w:rsid w:val="25AC5B1F"/>
    <w:rsid w:val="26256337"/>
    <w:rsid w:val="270F1DEA"/>
    <w:rsid w:val="287771FD"/>
    <w:rsid w:val="2AC80C26"/>
    <w:rsid w:val="2CE132BE"/>
    <w:rsid w:val="2CE915E7"/>
    <w:rsid w:val="2CF34AA9"/>
    <w:rsid w:val="2F7B4C5B"/>
    <w:rsid w:val="2FAF45CB"/>
    <w:rsid w:val="309E2DC2"/>
    <w:rsid w:val="30B01BE0"/>
    <w:rsid w:val="312B7C81"/>
    <w:rsid w:val="31597D3A"/>
    <w:rsid w:val="316B09BA"/>
    <w:rsid w:val="31883299"/>
    <w:rsid w:val="31992AC7"/>
    <w:rsid w:val="31C205E6"/>
    <w:rsid w:val="31F52043"/>
    <w:rsid w:val="360073FF"/>
    <w:rsid w:val="361C5F6C"/>
    <w:rsid w:val="37EF28EC"/>
    <w:rsid w:val="37F020EC"/>
    <w:rsid w:val="381C4571"/>
    <w:rsid w:val="38331C9A"/>
    <w:rsid w:val="38A74091"/>
    <w:rsid w:val="391D5ADD"/>
    <w:rsid w:val="3A052260"/>
    <w:rsid w:val="3A064DE8"/>
    <w:rsid w:val="3A54439E"/>
    <w:rsid w:val="3AA72B05"/>
    <w:rsid w:val="3B3531FF"/>
    <w:rsid w:val="3BEC0F62"/>
    <w:rsid w:val="3C171D09"/>
    <w:rsid w:val="3D513BA1"/>
    <w:rsid w:val="3F655009"/>
    <w:rsid w:val="40083409"/>
    <w:rsid w:val="40904373"/>
    <w:rsid w:val="42FD534A"/>
    <w:rsid w:val="43570DAA"/>
    <w:rsid w:val="458162FB"/>
    <w:rsid w:val="45B41AF7"/>
    <w:rsid w:val="463B1052"/>
    <w:rsid w:val="46D8052B"/>
    <w:rsid w:val="47E64674"/>
    <w:rsid w:val="48A1256D"/>
    <w:rsid w:val="490B5255"/>
    <w:rsid w:val="49865302"/>
    <w:rsid w:val="4A0C6DCC"/>
    <w:rsid w:val="4A292E59"/>
    <w:rsid w:val="4A5B782C"/>
    <w:rsid w:val="4AB36025"/>
    <w:rsid w:val="4AC565F9"/>
    <w:rsid w:val="4AF76D93"/>
    <w:rsid w:val="4AFA05DB"/>
    <w:rsid w:val="4C431ECB"/>
    <w:rsid w:val="4CBD3A2C"/>
    <w:rsid w:val="4CD102E4"/>
    <w:rsid w:val="4CD43511"/>
    <w:rsid w:val="4D0C49B3"/>
    <w:rsid w:val="4EA01857"/>
    <w:rsid w:val="4F186ECF"/>
    <w:rsid w:val="4F642F83"/>
    <w:rsid w:val="4F9A7D1A"/>
    <w:rsid w:val="4FF16272"/>
    <w:rsid w:val="50074618"/>
    <w:rsid w:val="50366752"/>
    <w:rsid w:val="509E4852"/>
    <w:rsid w:val="51815858"/>
    <w:rsid w:val="524F46F2"/>
    <w:rsid w:val="53032F5F"/>
    <w:rsid w:val="53C439C2"/>
    <w:rsid w:val="53E144A4"/>
    <w:rsid w:val="53F94527"/>
    <w:rsid w:val="540B11A7"/>
    <w:rsid w:val="54404E29"/>
    <w:rsid w:val="551556C2"/>
    <w:rsid w:val="55A16B24"/>
    <w:rsid w:val="55E24503"/>
    <w:rsid w:val="562573A0"/>
    <w:rsid w:val="574E08FC"/>
    <w:rsid w:val="5784228A"/>
    <w:rsid w:val="581521F0"/>
    <w:rsid w:val="586672C2"/>
    <w:rsid w:val="587E1654"/>
    <w:rsid w:val="58CA6D47"/>
    <w:rsid w:val="599212C1"/>
    <w:rsid w:val="5A543BA3"/>
    <w:rsid w:val="5A92790F"/>
    <w:rsid w:val="5A9C4F65"/>
    <w:rsid w:val="5B4068FC"/>
    <w:rsid w:val="5B5429C0"/>
    <w:rsid w:val="5D946F57"/>
    <w:rsid w:val="5F3C1CE1"/>
    <w:rsid w:val="5F7341AB"/>
    <w:rsid w:val="607411AB"/>
    <w:rsid w:val="616F12F4"/>
    <w:rsid w:val="61C04C4F"/>
    <w:rsid w:val="62DE6E6B"/>
    <w:rsid w:val="6330284F"/>
    <w:rsid w:val="636B0630"/>
    <w:rsid w:val="649832CD"/>
    <w:rsid w:val="64D62315"/>
    <w:rsid w:val="6513504E"/>
    <w:rsid w:val="65C4352F"/>
    <w:rsid w:val="65D33A39"/>
    <w:rsid w:val="660D5BB6"/>
    <w:rsid w:val="66C32E8E"/>
    <w:rsid w:val="66EA796E"/>
    <w:rsid w:val="6B693C79"/>
    <w:rsid w:val="6BFE3AE3"/>
    <w:rsid w:val="6C3A56EF"/>
    <w:rsid w:val="6CC12C6C"/>
    <w:rsid w:val="6D6D6796"/>
    <w:rsid w:val="6DAC51A3"/>
    <w:rsid w:val="6DFB3020"/>
    <w:rsid w:val="6E601144"/>
    <w:rsid w:val="6F4421D2"/>
    <w:rsid w:val="719830A7"/>
    <w:rsid w:val="72C25048"/>
    <w:rsid w:val="74006D99"/>
    <w:rsid w:val="742F36BA"/>
    <w:rsid w:val="750C2607"/>
    <w:rsid w:val="752D3F1E"/>
    <w:rsid w:val="756B278E"/>
    <w:rsid w:val="756D12FD"/>
    <w:rsid w:val="76AE0369"/>
    <w:rsid w:val="76DC2455"/>
    <w:rsid w:val="772C2467"/>
    <w:rsid w:val="781E6779"/>
    <w:rsid w:val="78895C63"/>
    <w:rsid w:val="78CC43CD"/>
    <w:rsid w:val="78D15084"/>
    <w:rsid w:val="7B29035B"/>
    <w:rsid w:val="7BFE37B1"/>
    <w:rsid w:val="7CE62287"/>
    <w:rsid w:val="7D02613C"/>
    <w:rsid w:val="7D08589F"/>
    <w:rsid w:val="7FC4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table of figures"/>
    <w:basedOn w:val="1"/>
    <w:next w:val="1"/>
    <w:autoRedefine/>
    <w:qFormat/>
    <w:uiPriority w:val="0"/>
    <w:pPr>
      <w:spacing w:line="360" w:lineRule="auto"/>
      <w:ind w:left="400" w:leftChars="200" w:hanging="200" w:hangingChars="200"/>
    </w:pPr>
    <w:rPr>
      <w:color w:val="000000"/>
      <w:kern w:val="0"/>
      <w:sz w:val="24"/>
      <w:szCs w:val="20"/>
    </w:rPr>
  </w:style>
  <w:style w:type="paragraph" w:styleId="5">
    <w:name w:val="Normal Indent"/>
    <w:basedOn w:val="1"/>
    <w:autoRedefine/>
    <w:qFormat/>
    <w:uiPriority w:val="99"/>
    <w:pPr>
      <w:tabs>
        <w:tab w:val="left" w:pos="4117"/>
      </w:tabs>
      <w:overflowPunct w:val="0"/>
      <w:autoSpaceDE w:val="0"/>
      <w:autoSpaceDN w:val="0"/>
      <w:adjustRightInd w:val="0"/>
      <w:spacing w:line="500" w:lineRule="exact"/>
      <w:ind w:firstLine="517" w:firstLineChars="200"/>
    </w:pPr>
    <w:rPr>
      <w:rFonts w:ascii="宋体" w:cs="宋体"/>
      <w:spacing w:val="-20"/>
      <w:kern w:val="0"/>
      <w:sz w:val="24"/>
      <w:szCs w:val="24"/>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缩进1"/>
    <w:basedOn w:val="1"/>
    <w:autoRedefine/>
    <w:qFormat/>
    <w:uiPriority w:val="99"/>
    <w:pPr>
      <w:ind w:firstLine="420" w:firstLineChars="200"/>
    </w:pPr>
  </w:style>
  <w:style w:type="paragraph" w:customStyle="1" w:styleId="13">
    <w:name w:val="正文格式"/>
    <w:autoRedefine/>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14">
    <w:name w:val="Char1"/>
    <w:basedOn w:val="1"/>
    <w:autoRedefine/>
    <w:qFormat/>
    <w:uiPriority w:val="0"/>
    <w:pPr>
      <w:tabs>
        <w:tab w:val="left" w:pos="840"/>
      </w:tabs>
      <w:ind w:left="840" w:hanging="420"/>
    </w:pPr>
    <w:rPr>
      <w:rFonts w:ascii="Calibri" w:hAnsi="Calibri"/>
      <w:sz w:val="24"/>
      <w:szCs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6835</Words>
  <Characters>6968</Characters>
  <Lines>0</Lines>
  <Paragraphs>0</Paragraphs>
  <TotalTime>278</TotalTime>
  <ScaleCrop>false</ScaleCrop>
  <LinksUpToDate>false</LinksUpToDate>
  <CharactersWithSpaces>7094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2023-01-09T00:46:00Z</dcterms:created>
  <dc:creator>芳芳</dc:creator>
  <cp:lastModifiedBy>61081049</cp:lastModifiedBy>
  <cp:lastPrinted>2024-01-24T06:15:00Z</cp:lastPrinted>
  <dcterms:modified xsi:type="dcterms:W3CDTF">2024-02-04T09:54:40Z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DB79AF3F62AA4489A0C29EFAF9D828C2_13</vt:lpwstr>
  </property>
</Properties>
</file>