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750" w:type="pct"/>
        <w:jc w:val="center"/>
        <w:tblCellSpacing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60"/>
      </w:tblGrid>
      <w:tr w14:paraId="55FB04B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F7C4A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900" w:lineRule="atLeast"/>
              <w:ind w:left="0" w:right="0"/>
              <w:jc w:val="center"/>
              <w:rPr>
                <w:rFonts w:ascii="微软雅黑" w:hAnsi="微软雅黑" w:eastAsia="微软雅黑" w:cs="微软雅黑"/>
                <w:b/>
                <w:color w:val="3D3D36"/>
                <w:sz w:val="48"/>
                <w:szCs w:val="48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aps w:val="0"/>
                <w:color w:val="3D3D36"/>
                <w:spacing w:val="0"/>
                <w:sz w:val="48"/>
                <w:szCs w:val="48"/>
              </w:rPr>
              <w:t>千阳县政协办公室2019年部门综合预算说明</w:t>
            </w:r>
          </w:p>
        </w:tc>
      </w:tr>
    </w:tbl>
    <w:p w14:paraId="13C06598">
      <w:pPr>
        <w:rPr>
          <w:vanish/>
          <w:sz w:val="24"/>
          <w:szCs w:val="24"/>
        </w:rPr>
      </w:pPr>
    </w:p>
    <w:tbl>
      <w:tblPr>
        <w:tblStyle w:val="3"/>
        <w:tblW w:w="5000" w:type="pct"/>
        <w:tblCellSpacing w:w="15" w:type="dxa"/>
        <w:tblInd w:w="0" w:type="dxa"/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18"/>
      </w:tblGrid>
      <w:tr w14:paraId="200A54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4DC9D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sz w:val="18"/>
                <w:szCs w:val="18"/>
              </w:rPr>
            </w:pPr>
          </w:p>
        </w:tc>
      </w:tr>
    </w:tbl>
    <w:p w14:paraId="1A90FC7C">
      <w:pPr>
        <w:rPr>
          <w:vanish/>
          <w:sz w:val="24"/>
          <w:szCs w:val="24"/>
        </w:rPr>
      </w:pPr>
    </w:p>
    <w:tbl>
      <w:tblPr>
        <w:tblStyle w:val="3"/>
        <w:tblW w:w="5000" w:type="pct"/>
        <w:tblCellSpacing w:w="15" w:type="dxa"/>
        <w:tblInd w:w="0" w:type="dxa"/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18"/>
      </w:tblGrid>
      <w:tr w14:paraId="6401EB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E09B"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2B2B2B"/>
                <w:spacing w:val="0"/>
                <w:sz w:val="18"/>
                <w:szCs w:val="18"/>
              </w:rPr>
            </w:pPr>
          </w:p>
        </w:tc>
      </w:tr>
    </w:tbl>
    <w:p w14:paraId="10D8AD2B">
      <w:pPr>
        <w:rPr>
          <w:vanish/>
          <w:sz w:val="24"/>
          <w:szCs w:val="24"/>
        </w:rPr>
      </w:pPr>
    </w:p>
    <w:tbl>
      <w:tblPr>
        <w:tblStyle w:val="3"/>
        <w:tblW w:w="4750" w:type="pct"/>
        <w:jc w:val="center"/>
        <w:tblCellSpacing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60"/>
      </w:tblGrid>
      <w:tr w14:paraId="2F93F583">
        <w:tblPrEx>
          <w:shd w:val="clear" w:color="auto" w:fill="auto"/>
        </w:tblPrEx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2FC64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一、部门主要职责及机构设置</w:t>
            </w:r>
          </w:p>
          <w:p w14:paraId="2609CC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27"/>
              <w:jc w:val="left"/>
            </w:pPr>
            <w:r>
              <w:rPr>
                <w:rFonts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政协千阳县委员会机关内部设置：办公室、提案与人口资源委员会、经济科技委员会、教文卫体与学习文史委员会、社会法制与民族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和</w:t>
            </w:r>
            <w:r>
              <w:rPr>
                <w:rFonts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宗教委员会等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5个机构。其主要职责是：</w:t>
            </w:r>
          </w:p>
          <w:p w14:paraId="78B88D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（一）负责政协千阳县委员会全体会议、常务委员会会议、主席会议及其他重要会议、活动的组织和服务工作。</w:t>
            </w:r>
          </w:p>
          <w:p w14:paraId="076F47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（二）负责政协千阳县委员会全体会议、常务委员会会议、主席会议决议、决定的具体组织实施工作。</w:t>
            </w:r>
          </w:p>
          <w:p w14:paraId="14CF6C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（三）研究统一战线和人民政协的理论、政策，提出人民政协履行职能的工作建议；起草县政协的重要文稿。</w:t>
            </w:r>
          </w:p>
          <w:p w14:paraId="3A2AFB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（四）负责协调、保障县政协实施调研计划和开展相关活动的组织服务工作。</w:t>
            </w:r>
          </w:p>
          <w:p w14:paraId="47FEB0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（五）负责县政协委员提案提交、审查立案、提案办理的组织协调和服务工作。</w:t>
            </w:r>
          </w:p>
          <w:p w14:paraId="452203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（六）负责县政协委员视察、考察、调研及其重要活动的组织服务工作。</w:t>
            </w:r>
          </w:p>
          <w:p w14:paraId="5B755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（七）整理、报送政协组织和委员履行职能形成的调研报告、视察报告；收集反映社情民意，处理政协委员和人民群众的来信来访。</w:t>
            </w:r>
          </w:p>
          <w:p w14:paraId="09D4B3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（八）负责与中共千阳县委、县人大、县政府及有关部门联系工作，联系并指导镇政协联络组工作；负责与县级各民主党派、工商联的联系协调工作。</w:t>
            </w:r>
          </w:p>
          <w:p w14:paraId="23C328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（九）协助县委组织部、统战部等有关部门做好县政协委员的协商推荐等人事工作。</w:t>
            </w:r>
          </w:p>
          <w:p w14:paraId="0BC4FA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（十）</w:t>
            </w: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2B2B2B"/>
                <w:spacing w:val="0"/>
                <w:sz w:val="32"/>
                <w:szCs w:val="32"/>
              </w:rPr>
              <w:t>负责县政协委员的管理和服务工作，建立健全委员信息库、委员参政议政履职档案、履职情况统计制度和考核奖惩机制，并负责县政协联谊会的工作。</w:t>
            </w:r>
          </w:p>
          <w:p w14:paraId="6B79E0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（十一）协调和组织人民政协的对内对外宣传工作。</w:t>
            </w:r>
          </w:p>
          <w:p w14:paraId="7D4FBB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600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（十二）承办县政协领导同志交办的其他事项。</w:t>
            </w:r>
          </w:p>
          <w:p w14:paraId="324D33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二、2019年年度部门工作任务</w:t>
            </w:r>
          </w:p>
          <w:p w14:paraId="1EA873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县政协2019年主要工作安排如下：</w:t>
            </w:r>
          </w:p>
          <w:p w14:paraId="46AE6B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717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（一）发挥党组核心作用，加强政协党的建设</w:t>
            </w:r>
            <w:r>
              <w:rPr>
                <w:rFonts w:hint="eastAsia" w:ascii="仿宋_GB2312" w:hAnsi="微软雅黑" w:eastAsia="仿宋_GB2312" w:cs="仿宋_GB2312"/>
                <w:b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。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全面加强新时代人民政协党的建设工作，着力完善县政协党组中心组学习制度，建立完善党组联系民主党派、界别和党员委员等制度，切实发挥政协党组把方向、管大局、保落实的领导核心作用，认真落实全面从严治党主体责任，团结领导班子，带好干部队伍，确保政协工作政治正确、方向明确。</w:t>
            </w:r>
          </w:p>
          <w:p w14:paraId="069EA6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717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坚持党的领导，全面落实县委重大决策部署。增强“四个意识”，树牢“四个自信”，坚决做到“两个维护”，自觉接受县委领导，主动报告重要工作，及时反映重大事项，切实把县委的决策部署落实到政协工作的各个方面，努力助推我县在高质量发展中实现追赶超越。</w:t>
            </w:r>
          </w:p>
          <w:p w14:paraId="7B6FD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42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（三）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认真学习政治理论，努力提高履职能力。深入学习贯彻习近平总书记关于加强和改进人民政协工作重要思想，不断提高履职水平；认真学习全国、省市政协全会精神，及时掌握新政策、新思想和新知识，深入学习贯彻县委全委会报告、政府工作报告，准确把握履职方向和重点。</w:t>
            </w:r>
          </w:p>
          <w:p w14:paraId="445968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549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（四）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紧扣大局，深化整体协商。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充分发挥全委会整体协商议大事的作用，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着眼全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局，把握以脱贫攻坚统揽经济社会发展全局的总要求，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广泛组织协商，积极建言献策，全力推进各项目标顺利实现。</w:t>
            </w:r>
          </w:p>
          <w:p w14:paraId="7957D5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549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（五）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突出重点，组织专题协商。精心选题，通过专题协商议政的形式，积极为改进工作、促进发展献计献策。听取全县经济运行、党风廉政及有关方面的情况通报，为推动中心任务，提高工作效率建言献策。</w:t>
            </w:r>
          </w:p>
          <w:p w14:paraId="637094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549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（六）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把握关键，开展对口协商。坚持对口协商制度，丰富协商形式，拓宽协商渠道，助力解决发展难题。年内，组织开展重点提案办理、提升营商环境对口协商活动。</w:t>
            </w:r>
          </w:p>
          <w:p w14:paraId="361246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645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（七）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健全民主监督制度。积极参与《关于加强和改进人民政协民主监督工作的意见》起草工作，深化民主监督，不断增强民主监督的权威性、科学性和实效性，选好角度，把好尺度，增加深度，健全评议监督机制，协助党委、政府解决问题、改进工作。</w:t>
            </w:r>
          </w:p>
          <w:p w14:paraId="56D45A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645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(八)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着力做好提案工作。树立精品提案意识，组织委员围绕群众关心的民生问题，认真调查研究，积极撰写提案。加大提案督办力度，选取重点提案，由主席领衔督办、专委会上门催办、委员参与协办，提高提案办结率，发挥好政协提案在助推县域经济社会发展中的积极作用。</w:t>
            </w:r>
          </w:p>
          <w:p w14:paraId="3C9AA1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645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（九）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扎实开展委员专题视察。建立重要课题专题视察工作机制。年内，组织政协委员围绕全县美丽乡村建设、重点项目建设等方面，开展专题视察活动。</w:t>
            </w:r>
          </w:p>
          <w:p w14:paraId="147FE4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645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（十）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认真开展专题调查。把促进发展作为参政为民的第一要务，深入开展专题调研工作。年内，围绕全县食品安全、产业扶贫、文化产业发展、奶山羊产业发展等方面开展专题调研。</w:t>
            </w:r>
          </w:p>
          <w:p w14:paraId="7DBD15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645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（十一）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有效反映社情民意。引导委员积极参与，围绕事关群众切身利益的扶贫、交通、教育、医疗、就业、养老等民生问题，积极采写上报社情民意信息。</w:t>
            </w:r>
          </w:p>
          <w:p w14:paraId="1AECBB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56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（十二）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倾力参与中心工作。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自觉按照县委统一部署，积极参与联系镇村、包抓重点项目建设、为民办实事等重大工作任务。积极投身脱贫攻坚主战场，围绕巩固提升脱贫成效，组织引导广大政协委员和政协工作者继续发挥作用。抓好脱贫攻坚群众满意度提升，积极开展具有政协特色的办实事、惠民生活动，动员社会各界深度参与脱贫攻坚。</w:t>
            </w:r>
          </w:p>
          <w:p w14:paraId="5C8A28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（十三）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发挥统一战线重要作用。坚持把发扬民主、促进团结、协调关系作为履职的着力点，支持和保障人民政协各参加单位积极参加政协活动，深化合作共事；加强与社会各界人士的联系联谊，广泛引领做好群众工作，协助党委政府化解矛盾，促进社会繁荣稳定。</w:t>
            </w:r>
          </w:p>
          <w:p w14:paraId="71EBF5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（十四）成立各界爱心济困协会。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积极联系省、市两级各界爱心济困协会，科学谋划，全力筹备，成立千阳县各界爱心济困协会，吸引社会各界有志于扶贫济困事业的单位和个人加入，汇聚社会正能量，帮扶更多贫困群众，助力精准扶贫精准脱贫。</w:t>
            </w:r>
          </w:p>
          <w:p w14:paraId="4D3F9D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645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（十五）抓好文史资料征编工作。营造浓厚的文史工作氛围，扩大走访约稿范围，加大编辑撰写力度，深入档案馆等部门发掘史料，把散佚在民间的名人事迹、重要史实收集起来，加快《历代名人与千阳》编撰进度。</w:t>
            </w:r>
          </w:p>
          <w:p w14:paraId="6B7EF7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540" w:lineRule="atLeast"/>
              <w:ind w:left="0" w:right="0" w:firstLine="645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（十六）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建立健全规章制度。按照政协章程和新时期政协工作的新任务，进一步完善政治协商的制度规程，积极探索民主监督的新途径，不断健全参政议政的新机制。通过制度的约束和落实，引导委员履职，规范委员管理，激励委员奉献，树立委员形象。</w:t>
            </w:r>
          </w:p>
          <w:p w14:paraId="2BE1D8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56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28"/>
                <w:szCs w:val="28"/>
                <w:lang w:val="en-US" w:eastAsia="zh-CN" w:bidi="ar"/>
              </w:rPr>
              <w:t>（十七）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强化政协自身建设。切实抓好以促进党派合作、突出界别特色、发挥委员主体作用、发挥专委会</w:t>
            </w:r>
            <w:bookmarkStart w:id="0" w:name="_GoBack"/>
            <w:bookmarkEnd w:id="0"/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基础性作用以及加强机关建设为重点的“五位一体”自身建设，密切与广大委员以及各镇政协联络组的联系，充分发挥其作为政协履职基础的作用。加强信息宣传工作，办好政协门户网站，密切与新闻媒体的联系，扩大对外宣传，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努力提高政协工作的社会影响力。</w:t>
            </w:r>
          </w:p>
          <w:p w14:paraId="51B574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（十八）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加强委员队伍建设。加强委员政治纪律、组织纪律、工作纪律建设，进一步规范完善管理、考核和奖惩机制，组织开展委员培训学习活动，着力增强全体政协委员的政治把握能力、调查研究能力、联系群众能力、合作共事能力，做到懂政协、会协商、善议政，守纪律、讲规矩、重品行，努力开创我县政协事业新局面。</w:t>
            </w:r>
          </w:p>
          <w:p w14:paraId="4AB222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三、部门预算单位构成</w:t>
            </w:r>
          </w:p>
          <w:p w14:paraId="799467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政协千阳县委员会办公室为一级全额财政预算拨款单位，无下设机构。</w:t>
            </w:r>
          </w:p>
          <w:p w14:paraId="71D0C7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四、部门人员情况说明</w:t>
            </w:r>
          </w:p>
          <w:p w14:paraId="051B2D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截止2018年底，政协千阳县委员会办公室人员编制19人，其中行政编制16人、工勤编制3人；实有人员21人，其中行政18人、工勤3人。单位管理的离退休人员14人。</w:t>
            </w:r>
          </w:p>
          <w:p w14:paraId="2742F5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五、部门国有资产占有使用及资产购置情况说明</w:t>
            </w:r>
          </w:p>
          <w:p w14:paraId="2AC65D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截至2018年底，政协千阳县委员会办公室共有车辆2辆， 2019年部门预算未安排购置车辆。</w:t>
            </w:r>
          </w:p>
          <w:p w14:paraId="2F8ACF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六、部门预算绩效目标说明</w:t>
            </w:r>
          </w:p>
          <w:p w14:paraId="27F2D1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2019年本部门实现了绩效目标管理全覆盖，涉及一般公共预算当年拨款359.2万元，政府性基金当年无预算安排。</w:t>
            </w:r>
          </w:p>
          <w:p w14:paraId="143C5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七、2019年部门预算收支说明</w:t>
            </w:r>
          </w:p>
          <w:p w14:paraId="6512FD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（一）收支预算总体情况。</w:t>
            </w:r>
          </w:p>
          <w:p w14:paraId="50A722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2019年本部门预算收入359.2万元，其中一般公共预算拨款收入359.2万元，2019年本部门预算收入较上年增加13.1万元，主要原因是工资调整，人员经费增加。</w:t>
            </w:r>
          </w:p>
          <w:p w14:paraId="53AD8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（二）财政拨款收支情况</w:t>
            </w:r>
          </w:p>
          <w:p w14:paraId="5857CD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财政拨款收入359.2万元，其中一般公共预算拨款收入359.2万元，2019年本部门预算收入较上年增加13.1万元，主要原因是工资调整，人员经费增加；2019年本部门财政拨款收入359.2万元，其中一般公共预算拨款收入359.2万元，2019年本部门预算收入较上年增加13.1万元，主要原因是工资调整，人员经费增加。</w:t>
            </w:r>
          </w:p>
          <w:p w14:paraId="725A4F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（三）一般公共预算拨款支出明细情况。</w:t>
            </w:r>
          </w:p>
          <w:p w14:paraId="5180E3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1、一般公共预算当年拨款规模变化情况。</w:t>
            </w:r>
          </w:p>
          <w:p w14:paraId="449EF9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2019年本部门一般公共预算拨款支出359.2万元，较上年增加13.1万元，主要原因是工资调整，人员经费增加。</w:t>
            </w:r>
          </w:p>
          <w:p w14:paraId="0558F4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2、支出按功能科目分类的明细情况。</w:t>
            </w:r>
          </w:p>
          <w:p w14:paraId="019E23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本部门2019年一般公共预算支出359.2万元，其中：</w:t>
            </w:r>
          </w:p>
          <w:p w14:paraId="2A012E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（1）行政运行（2010201）280.3万元，较上年减少0.2万元，原因是对公用经费压缩。</w:t>
            </w:r>
          </w:p>
          <w:p w14:paraId="629056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（2）一般行政管理事务（2010202）48.1万元，较上年增加2万元，原因是增加培训费。</w:t>
            </w:r>
          </w:p>
          <w:p w14:paraId="186596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（3）政协会议经费（2010204）10万元，上年度会议经费未单独预算。</w:t>
            </w:r>
          </w:p>
          <w:p w14:paraId="3E7661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（4）住房公积金（2210201）20.8万元，较上年增加1.3万元，原因是工资调整增加住房公积金。</w:t>
            </w:r>
          </w:p>
          <w:p w14:paraId="487611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3、支出按经济科目分类的明细情况</w:t>
            </w:r>
          </w:p>
          <w:p w14:paraId="1B3754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（1）按照部门预算支出经济分类的类级科目说明</w:t>
            </w:r>
          </w:p>
          <w:p w14:paraId="3C4421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2019年本部门一般公共预算支出359.2万元，其中：</w:t>
            </w:r>
          </w:p>
          <w:p w14:paraId="1A4AB0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工资福利支出（301）268.2万元，较上年增加12.1万元，原因是工资调整，人员经费增加；</w:t>
            </w:r>
          </w:p>
          <w:p w14:paraId="51A3AB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商品和服务支出（302）40.8万元，较上年减少0.1万元，原因是公用经费压缩；</w:t>
            </w:r>
          </w:p>
          <w:p w14:paraId="46BCF9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对个人和家庭的补助支出（303）4.1万元，较上年增加1.1万元，原因是增加遗属生活补助人员增加；</w:t>
            </w:r>
          </w:p>
          <w:p w14:paraId="729420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其他支出（399）46.1万元，同上年相同。</w:t>
            </w:r>
          </w:p>
          <w:p w14:paraId="02A9B9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（2）按照政府预算支出经济分类的类级科目说明。</w:t>
            </w:r>
          </w:p>
          <w:p w14:paraId="612E9B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2019年本部门一般公共预算支出359.2万元，其中：</w:t>
            </w:r>
          </w:p>
          <w:p w14:paraId="142CA7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机关工资福利支出（501）268.2万元，较上年增加12.1万元，原因是工资调整，人员经费增加；</w:t>
            </w:r>
          </w:p>
          <w:p w14:paraId="67A28C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机关商品和服务支出（502）40.8万元，较上年减少0.1万元，原因是公用经费压缩；</w:t>
            </w:r>
          </w:p>
          <w:p w14:paraId="60A433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对个人和家庭的补助支出（509）4.1万元，较上年增加1.1万元，原因是享受遗属生活补助人员增加；</w:t>
            </w:r>
          </w:p>
          <w:p w14:paraId="5BBDB1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其他支出（599）46.1万元，同上年相同。</w:t>
            </w:r>
          </w:p>
          <w:p w14:paraId="47C4EC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（四）政府性基金预算支出情况</w:t>
            </w:r>
          </w:p>
          <w:p w14:paraId="10D597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本部门无政府性基金预算收支，并已公开空表。</w:t>
            </w:r>
          </w:p>
          <w:p w14:paraId="4327C8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（五）国有资本经营预算拨款收支情况</w:t>
            </w:r>
          </w:p>
          <w:p w14:paraId="39C4CF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本部门无国有资本经营预算拨款收支。</w:t>
            </w:r>
          </w:p>
          <w:p w14:paraId="4411E9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（六）“三公”经费等预算情况。</w:t>
            </w:r>
          </w:p>
          <w:p w14:paraId="7EA23C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2019年本部门一般公共预算“三公”经费预算支出14万元，较上年减少6.2万元，减少的主要原因是压缩公务接待费、因科目调整，公务用车运行费单列。其中：因公出国（境）经费0万元，与上年相同；公务接待费2万元，较上年减少2.2万元，减少的主要原因是压缩和减少公务接待费；公务用车运行维护费4万元，与上年相同；公务用车购置费0万元，与上年相同；会议费10万元，与上年相同；培训费2万元，与上年相同。</w:t>
            </w:r>
          </w:p>
          <w:p w14:paraId="0560E2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（七）机关运行经费安排情况</w:t>
            </w:r>
          </w:p>
          <w:p w14:paraId="29436B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本部门2019年机关运行经费预算安排28.8万元，较上年减少0.1万元，主要原因是科目调整、压缩经费。</w:t>
            </w:r>
          </w:p>
          <w:p w14:paraId="0ADC7E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（八）政府采购情况</w:t>
            </w:r>
          </w:p>
          <w:p w14:paraId="0C2FA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本部门2019年无政府采购预算，并已公开空表。</w:t>
            </w:r>
          </w:p>
          <w:p w14:paraId="116B6C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八、专业名词解释</w:t>
            </w:r>
          </w:p>
          <w:p w14:paraId="21235D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0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1、机关运行经费：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      </w:r>
          </w:p>
          <w:p w14:paraId="0ED11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 w:line="378" w:lineRule="atLeast"/>
              <w:ind w:left="0" w:right="0" w:firstLine="645"/>
              <w:jc w:val="left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2B2B2B"/>
                <w:spacing w:val="0"/>
                <w:kern w:val="0"/>
                <w:sz w:val="32"/>
                <w:szCs w:val="32"/>
                <w:lang w:val="en-US" w:eastAsia="zh-CN" w:bidi="ar"/>
              </w:rPr>
              <w:t>2、“三公”经费：是指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、安全奖励费用等支出；公务接待费反映单位按规定开支的各类公务接待支出。</w:t>
            </w:r>
          </w:p>
        </w:tc>
      </w:tr>
    </w:tbl>
    <w:p w14:paraId="7D4B301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C0F90"/>
    <w:rsid w:val="4C6C0F90"/>
    <w:rsid w:val="55473004"/>
    <w:rsid w:val="6804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4401</Words>
  <Characters>4629</Characters>
  <Lines>0</Lines>
  <Paragraphs>0</Paragraphs>
  <TotalTime>5</TotalTime>
  <ScaleCrop>false</ScaleCrop>
  <LinksUpToDate>false</LinksUpToDate>
  <CharactersWithSpaces>4630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2020-03-13T09:28:00Z</dcterms:created>
  <dc:creator>随遇而安</dc:creator>
  <cp:lastModifiedBy>闫智科</cp:lastModifiedBy>
  <dcterms:modified xsi:type="dcterms:W3CDTF">2026-07-29T08:09:50Z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eyJoZGlkIjoiNmJjNDgxYTVmMGZlOTI1ZjdmNzJjMmJkNmI5NmJhMDAiLCJ1c2VySWQiOiI2ODUzMDgzNjkifQ==</vt:lpwstr>
  </property>
  <property fmtid="{D5CDD505-2E9C-101B-9397-08002B2CF9AE}" pid="4" name="ICV">
    <vt:lpwstr>F4C4E7CCDB0643589E153C92DDFF4ED0_12</vt:lpwstr>
  </property>
</Properties>
</file>