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750" w:type="pct"/>
        <w:jc w:val="center"/>
        <w:tblCellSpacing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60"/>
      </w:tblGrid>
      <w:tr w14:paraId="7FFE565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D72A2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900" w:lineRule="atLeast"/>
              <w:ind w:left="0" w:right="0"/>
              <w:jc w:val="center"/>
              <w:rPr>
                <w:rFonts w:ascii="微软雅黑" w:hAnsi="微软雅黑" w:eastAsia="微软雅黑" w:cs="微软雅黑"/>
                <w:b/>
                <w:color w:val="3D3D36"/>
                <w:sz w:val="48"/>
                <w:szCs w:val="48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D3D36"/>
                <w:spacing w:val="0"/>
                <w:sz w:val="48"/>
                <w:szCs w:val="48"/>
              </w:rPr>
              <w:t>千阳县司法局2019年部门综合预算说明</w:t>
            </w:r>
          </w:p>
        </w:tc>
      </w:tr>
    </w:tbl>
    <w:p w14:paraId="1ECF154F">
      <w:pPr>
        <w:rPr>
          <w:vanish/>
          <w:sz w:val="24"/>
          <w:szCs w:val="24"/>
        </w:rPr>
      </w:pPr>
    </w:p>
    <w:tbl>
      <w:tblPr>
        <w:tblStyle w:val="4"/>
        <w:tblW w:w="5000" w:type="pct"/>
        <w:tblCellSpacing w:w="15" w:type="dxa"/>
        <w:tblInd w:w="0" w:type="dxa"/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18"/>
      </w:tblGrid>
      <w:tr w14:paraId="30F3CE60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8A831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sz w:val="18"/>
                <w:szCs w:val="18"/>
              </w:rPr>
            </w:pPr>
          </w:p>
        </w:tc>
      </w:tr>
    </w:tbl>
    <w:p w14:paraId="30B672DE">
      <w:pPr>
        <w:rPr>
          <w:vanish/>
          <w:sz w:val="24"/>
          <w:szCs w:val="24"/>
        </w:rPr>
      </w:pPr>
    </w:p>
    <w:tbl>
      <w:tblPr>
        <w:tblStyle w:val="4"/>
        <w:tblW w:w="5000" w:type="pct"/>
        <w:tblCellSpacing w:w="15" w:type="dxa"/>
        <w:tblInd w:w="0" w:type="dxa"/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18"/>
      </w:tblGrid>
      <w:tr w14:paraId="673BBD96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6E4B4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sz w:val="18"/>
                <w:szCs w:val="18"/>
              </w:rPr>
            </w:pPr>
          </w:p>
        </w:tc>
      </w:tr>
    </w:tbl>
    <w:p w14:paraId="2228B6A2">
      <w:pPr>
        <w:rPr>
          <w:vanish/>
          <w:sz w:val="24"/>
          <w:szCs w:val="24"/>
        </w:rPr>
      </w:pPr>
    </w:p>
    <w:tbl>
      <w:tblPr>
        <w:tblStyle w:val="4"/>
        <w:tblW w:w="4750" w:type="pct"/>
        <w:jc w:val="center"/>
        <w:tblCellSpacing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60"/>
      </w:tblGrid>
      <w:tr w14:paraId="1A53196A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0E60E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一、部门主要职责及机构设置</w:t>
            </w:r>
          </w:p>
          <w:p w14:paraId="1F07A8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根据文件规定，本部门主要职责是：千阳县司法局负责全县法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治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宣传、公证律师、法律援助和两劳释解人员安置帮教管理，指导基层司法所和人民调解工作。下辖陕西省千阳县公证处、陕西田园乐律师事务所、千阳县律援助中心3个事业单位和7个基层司法所。千阳县公证处其职责是根据当事人的申请，依法证明法律行为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、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有法律意义的文书和事实的真实性、合法性，以保护公共财产、公民身份上、财产上的权利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与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合法利益。指导公民、法人和其他经济组织相互之间建立正常的、合法的民事权利义务关系，对他们之间的经济往来进行监督与制约。千阳县律师事务所其主要职责是：接受刑事案件被告人的委托或人民法院的指定担任辩护人，接受刑事案件自诉人和受害人委托担任代理人；接受民事案件当事人委托，担任代理人；应聘担任国家机关、企事业单位、社会团体和公民的法律顾问；办理其他非诉讼法律事务。千阳县法律援助中心。其职责是：代表政府指导协调、组织本县法律援助工作；受理法律援助事项；统一协调各律师事务所、公证处、基层法律服务机构做好法律援助工作。</w:t>
            </w:r>
          </w:p>
          <w:p w14:paraId="17AB82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二、2019年年度部门工作任务</w:t>
            </w:r>
          </w:p>
          <w:p w14:paraId="01938B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60" w:beforeAutospacing="0" w:after="0" w:afterAutospacing="0" w:line="432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（一）律师办案，律师办理案件100件。</w:t>
            </w:r>
          </w:p>
          <w:p w14:paraId="0E4789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60" w:beforeAutospacing="0" w:after="0" w:afterAutospacing="0" w:line="432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（二）公证案件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，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办理各类公证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案件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150件。</w:t>
            </w:r>
          </w:p>
          <w:p w14:paraId="21C9DE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60" w:beforeAutospacing="0" w:after="0" w:afterAutospacing="0" w:line="432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（三）法律援助，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共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办理法律援助案件50件。</w:t>
            </w:r>
          </w:p>
          <w:p w14:paraId="0AB69C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60" w:beforeAutospacing="0" w:after="0" w:afterAutospacing="0" w:line="432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（四）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法治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宣传，加强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法治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宣传工作，全年举办法律宣传培训班25期。</w:t>
            </w:r>
          </w:p>
          <w:p w14:paraId="1307EF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60" w:beforeAutospacing="0" w:after="0" w:afterAutospacing="0" w:line="432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（五）人民调解，各类矛盾纠纷调解率和成功率分别达到98%和96%。</w:t>
            </w:r>
          </w:p>
          <w:p w14:paraId="608496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60" w:beforeAutospacing="0" w:after="0" w:afterAutospacing="0" w:line="432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（六）社区矫正，社区服刑人员GPS定位率达到95%以上，资料录入率达到100%。组织社区服刑人员公益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参加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劳动6次。</w:t>
            </w:r>
          </w:p>
          <w:p w14:paraId="681EAC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60" w:beforeAutospacing="0" w:after="0" w:afterAutospacing="0" w:line="432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（七）司法所建设，抓好司法所规范化建设，司法员业务培训4次。</w:t>
            </w:r>
          </w:p>
          <w:p w14:paraId="165E13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三、部门预算单位构成</w:t>
            </w:r>
          </w:p>
          <w:p w14:paraId="64AC13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" w:hAnsi="仿宋" w:eastAsia="仿宋" w:cs="仿宋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千阳县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司法局为一级全额财政拨款单位，其下属单位千阳县公证处、千阳县律师事务所为二级全额财政拨款事业单位。</w:t>
            </w:r>
          </w:p>
          <w:p w14:paraId="16F7BB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纳入本部门2019年部门预算编制范围的二级预算单位共有2个，包括：</w:t>
            </w:r>
          </w:p>
          <w:tbl>
            <w:tblPr>
              <w:tblStyle w:val="4"/>
              <w:tblW w:w="8762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368"/>
              <w:gridCol w:w="7394"/>
            </w:tblGrid>
            <w:tr w14:paraId="10D81A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368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5EED2AB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7394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3BACA6FD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单位名称</w:t>
                  </w:r>
                </w:p>
              </w:tc>
            </w:tr>
            <w:tr w14:paraId="7AA792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368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7EEFE56D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739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3AE074BE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left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千阳县司法局本级（机关）</w:t>
                  </w:r>
                </w:p>
              </w:tc>
            </w:tr>
            <w:tr w14:paraId="198923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368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782A623C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739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348D321B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left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千阳县律师事务所</w:t>
                  </w:r>
                </w:p>
              </w:tc>
            </w:tr>
            <w:tr w14:paraId="09F3BD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368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1526DBC4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center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739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top"/>
                </w:tcPr>
                <w:p w14:paraId="1E6A9FD0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60" w:beforeAutospacing="0" w:after="0" w:afterAutospacing="0" w:line="378" w:lineRule="atLeast"/>
                    <w:ind w:left="0" w:right="0" w:firstLine="0"/>
                    <w:jc w:val="left"/>
                  </w:pPr>
                  <w:r>
                    <w:rPr>
                      <w:rFonts w:hint="eastAsia" w:ascii="仿宋_GB2312" w:eastAsia="仿宋_GB2312" w:cs="仿宋_GB2312" w:hAnsiTheme="minorHAnsi"/>
                      <w:kern w:val="0"/>
                      <w:sz w:val="32"/>
                      <w:szCs w:val="32"/>
                      <w:vertAlign w:val="baseline"/>
                      <w:lang w:val="en-US" w:eastAsia="zh-CN" w:bidi="ar"/>
                    </w:rPr>
                    <w:t>千阳县公证处</w:t>
                  </w:r>
                </w:p>
              </w:tc>
            </w:tr>
          </w:tbl>
          <w:p w14:paraId="6BF304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四、部门人员情况说明</w:t>
            </w:r>
          </w:p>
          <w:p w14:paraId="120839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截止2018年底，本部门人员编制19人，其中行政编制15人、事业编制4人；实有人员19人，其中行政15人、事业4人。单位管理的离退休人员12人。</w:t>
            </w:r>
          </w:p>
          <w:p w14:paraId="0EA491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240" w:afterAutospacing="0" w:line="378" w:lineRule="atLeast"/>
              <w:ind w:left="0" w:right="0" w:firstLine="42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4591050" cy="276225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4591050" cy="2762250"/>
                  <wp:effectExtent l="0" t="0" r="0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8B22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五、部门国有资产占有使用及资产购置情况说明</w:t>
            </w:r>
          </w:p>
          <w:p w14:paraId="56868D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截至2018年12月31日，本预算单位共有车辆2辆。2019年部门预算未安排购置车辆。</w:t>
            </w:r>
          </w:p>
          <w:p w14:paraId="5D083F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六、部门预算绩效目标说明</w:t>
            </w:r>
          </w:p>
          <w:p w14:paraId="69CF71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" w:hAnsi="仿宋" w:eastAsia="仿宋" w:cs="仿宋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2019年本部门专项业务经费项目实现了绩效目标管理全覆盖，涉及一般公共预算当年拨款18万元。</w:t>
            </w:r>
          </w:p>
          <w:p w14:paraId="07A330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七、2019年部门预算收支说明</w:t>
            </w:r>
          </w:p>
          <w:p w14:paraId="4FCC05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（一）收支预算总体情况</w:t>
            </w:r>
          </w:p>
          <w:p w14:paraId="1EC9AB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2019年本部门财政拨款收入287.2万元，其中一般公共预算拨款收入287.2万元、政府性基金拨款收入0万元，2019年本部门财政拨款收入较上年增加26.7万元，主要原因是2018年度公证体制改革，将原公证处人员划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归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为县司法局人员，公证处改革为全额拨款事业单位，编制4人；2019年本部门财政拨款支出287.2万元，包括人员经费和公用经费支出269.2万元；专项业务经费支出18万元，全部为一般公共预算拨款支出，原因同上。</w:t>
            </w:r>
          </w:p>
          <w:p w14:paraId="71EF8B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（二）一般公共预算拨款支出明细情况</w:t>
            </w:r>
          </w:p>
          <w:bookmarkEnd w:id="0"/>
          <w:p w14:paraId="4808A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</w:pPr>
            <w:r>
              <w:rPr>
                <w:rStyle w:val="6"/>
                <w:rFonts w:ascii="仿宋_GB2312" w:hAnsi="仿宋_GB2312" w:eastAsia="仿宋_GB2312" w:cs="仿宋_GB2312"/>
                <w:b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1、一般公共预算当年拨款规模变化情况</w:t>
            </w:r>
          </w:p>
          <w:p w14:paraId="1AC83A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2019年本部门一般公共预算拨款支出287.2万元，较上年增加26.7万元，主要原因是2018年度公证体制改革，将原公证处人员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划归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为县司法局人员，公证处改革为全额拨款事业单位，编制4人。</w:t>
            </w:r>
          </w:p>
          <w:p w14:paraId="3FCEBE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</w:pPr>
            <w:r>
              <w:rPr>
                <w:rStyle w:val="6"/>
                <w:rFonts w:ascii="仿宋_GB2312" w:hAnsi="仿宋_GB2312" w:eastAsia="仿宋_GB2312" w:cs="仿宋_GB2312"/>
                <w:b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2、支出按功能科目分类的明细情况。</w:t>
            </w:r>
          </w:p>
          <w:p w14:paraId="38DB11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本部门2019年一般公共预算支出287.2万元，其中：</w:t>
            </w:r>
          </w:p>
          <w:p w14:paraId="11A9D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（1）行政运行（2040601）213.7万元，较上年增加40.2万元，原因是2018年度公证体制改革，将原证处人员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划归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为县司法局管理，人员及公用经费一并预算到局机关；</w:t>
            </w:r>
          </w:p>
          <w:p w14:paraId="3B993C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（2）事业运行（2040606）41.5万元，较上年减少30.1万元，原因是2018年度公证体制改革，将原证处人员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划归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为县司法局管理，人员及公用经费一并预算到局机关；</w:t>
            </w:r>
          </w:p>
          <w:p w14:paraId="35BE7E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（3）项目资金共18万元，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与上年持平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。</w:t>
            </w:r>
          </w:p>
          <w:p w14:paraId="1C95E5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基层司法业务（2040604）7万元，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与上年持平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。</w:t>
            </w:r>
          </w:p>
          <w:p w14:paraId="1BE59A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普法宣传（2040605）3万元，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与上年持平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。</w:t>
            </w:r>
          </w:p>
          <w:p w14:paraId="0D56BB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法律援助（2040607）1万元，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与上年持平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。</w:t>
            </w:r>
          </w:p>
          <w:p w14:paraId="57E1E9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社区矫正（2040610）5万元，较上年增加3万元，原因是2019年度无人民调解与安置帮教预算经费；</w:t>
            </w:r>
          </w:p>
          <w:p w14:paraId="241D56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法治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建设（2040612）2万元，较上年增加2万元，原因是2019年机构改革将原县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法治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办交由县司法局承担职能；</w:t>
            </w:r>
          </w:p>
          <w:p w14:paraId="02D31E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（4）住房公积金（2210201）17.3万元，较上年增加1.9万元，原因是人员变化。</w:t>
            </w:r>
          </w:p>
          <w:p w14:paraId="1C4A9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43" w:firstLineChars="200"/>
              <w:jc w:val="left"/>
            </w:pPr>
            <w:r>
              <w:rPr>
                <w:rStyle w:val="6"/>
                <w:rFonts w:ascii="仿宋_GB2312" w:hAnsi="仿宋_GB2312" w:eastAsia="仿宋_GB2312" w:cs="仿宋_GB2312"/>
                <w:b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3、支出按经济科目分类的明细情况</w:t>
            </w:r>
          </w:p>
          <w:p w14:paraId="709BD6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（1）2019年本部门一般公共预算支出269.2万元，其中：</w:t>
            </w:r>
          </w:p>
          <w:p w14:paraId="0F956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工资福利支出（301）237.2万元，较上年增加36.1万元，原因是2018年度公证体制改革，将原公证处人员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划归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为县司法局；</w:t>
            </w:r>
          </w:p>
          <w:p w14:paraId="729DB7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商品和服务支出（302）29.2万元，较上年增加4.8万元，原因是人员变动；</w:t>
            </w:r>
          </w:p>
          <w:p w14:paraId="503044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对个人和家庭的补助支出（303）2.8万元，较上年增加1.1万元，原因是人员变动；</w:t>
            </w:r>
          </w:p>
          <w:p w14:paraId="48B55E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对项目支出（399）18万元，下上年一致。</w:t>
            </w:r>
          </w:p>
          <w:p w14:paraId="41D3AF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（2）按照政府预算支出经济分类的类级科目说明。</w:t>
            </w:r>
          </w:p>
          <w:p w14:paraId="270E67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2019年本部门一般公共预算支出287.2万元，其中：</w:t>
            </w:r>
          </w:p>
          <w:p w14:paraId="7D4C6B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机关工资福利支出（301）196.4万元，较上年增加52.1万元，原因是2018年度公证体制改革，将原公证处人员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划归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为县司法局；</w:t>
            </w:r>
          </w:p>
          <w:p w14:paraId="370013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机关商品和服务支出（302）28.5万元，较上年增加7.5万元，原因是2018年度公证体制改革，将原公证处人员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划归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为县司法局；</w:t>
            </w:r>
          </w:p>
          <w:p w14:paraId="7AE049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对个人和家庭的补助（303）2.8万元，较上年减少14.2万元，原因是人员变动；</w:t>
            </w:r>
          </w:p>
          <w:p w14:paraId="5C19A7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对其他支出（399）18万元，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与上年持平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。</w:t>
            </w:r>
          </w:p>
          <w:p w14:paraId="5DADF3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（四）政府性基金预算支出情况</w:t>
            </w:r>
          </w:p>
          <w:p w14:paraId="459883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本部门无政府性基金预算收支，并已公开空表。</w:t>
            </w:r>
          </w:p>
          <w:p w14:paraId="46224D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（五）国有资本经营预算拨款收支情况</w:t>
            </w:r>
          </w:p>
          <w:p w14:paraId="337CF5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本部门无国有资本经营预算拨款收支。</w:t>
            </w:r>
          </w:p>
          <w:p w14:paraId="1AD268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（六）“三公”经费等预算情况</w:t>
            </w:r>
          </w:p>
          <w:p w14:paraId="0F7AE0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 年“三公”经费预算2.1万元，比上年减少0.5万元，原因是三公经费逐年减少。其中因公出国（境）费0万元；公务接待费2.1万元，比上年减少0.1万元，原因同上; 公务用车运行维护费3.3万元，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与上年持平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。</w:t>
            </w:r>
          </w:p>
          <w:p w14:paraId="571A8B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2019年无会议费预算。</w:t>
            </w:r>
          </w:p>
          <w:p w14:paraId="1A79D4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2019年无培训费预算。</w:t>
            </w:r>
          </w:p>
          <w:p w14:paraId="29E271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（七）机关运行经费安排情况</w:t>
            </w:r>
          </w:p>
          <w:p w14:paraId="6D5E06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本部门2019年机关运行经费预算安排29.2万元，较上年增加4.8万元，主要原因是2018年度公证体制改革，将原公证处人员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划归</w:t>
            </w: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为县司法局人员。</w:t>
            </w:r>
          </w:p>
          <w:p w14:paraId="42BD0E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3"/>
              <w:jc w:val="left"/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（八）政府采购情况</w:t>
            </w:r>
          </w:p>
          <w:p w14:paraId="2D8B19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本部门2019年无政府采购预算，并已公开空表。</w:t>
            </w:r>
          </w:p>
          <w:p w14:paraId="27D3E7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八、专业名词解释</w:t>
            </w:r>
          </w:p>
          <w:p w14:paraId="72B92B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一）“三公”经费：是指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、安全奖励费用等支出；公务接待费反映单位按规定开支的各类公务接待支出。</w:t>
            </w:r>
          </w:p>
          <w:p w14:paraId="51A302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0"/>
              <w:jc w:val="left"/>
            </w:pPr>
            <w:r>
              <w:rPr>
                <w:rFonts w:ascii="仿宋_GB2312" w:hAnsi="仿宋_GB2312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机关运行经费：为保障行政单位（包括参照公务员法管理的事业单位）运行用于购买货物和服务的各项公用经费，包括办公及印刷费、邮电费、差旅费、会议费、福利费、日常维修费、专用材料及办公用房水电费、办公用房取暖费、办公用房物业管理费、公务用车运行维护费以及其他费用。</w:t>
            </w:r>
          </w:p>
        </w:tc>
      </w:tr>
    </w:tbl>
    <w:p w14:paraId="1E569AE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C5736"/>
    <w:rsid w:val="0DCB6110"/>
    <w:rsid w:val="602C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2681</Words>
  <Characters>2970</Characters>
  <Lines>0</Lines>
  <Paragraphs>0</Paragraphs>
  <TotalTime>7</TotalTime>
  <ScaleCrop>false</ScaleCrop>
  <LinksUpToDate>false</LinksUpToDate>
  <CharactersWithSpaces>2979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2020-03-13T09:44:00Z</dcterms:created>
  <dc:creator>随遇而安</dc:creator>
  <cp:lastModifiedBy>闫智科</cp:lastModifiedBy>
  <dcterms:modified xsi:type="dcterms:W3CDTF">2026-07-29T03:47:55Z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eyJoZGlkIjoiNmJjNDgxYTVmMGZlOTI1ZjdmNzJjMmJkNmI5NmJhMDAiLCJ1c2VySWQiOiI2ODUzMDgzNjkifQ==</vt:lpwstr>
  </property>
  <property fmtid="{D5CDD505-2E9C-101B-9397-08002B2CF9AE}" pid="4" name="ICV">
    <vt:lpwstr>A93E508F18DF42239DF88140F4CDB800_12</vt:lpwstr>
  </property>
</Properties>
</file>