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4750" w:type="pct"/>
        <w:jc w:val="center"/>
        <w:tblCellSpacing w:w="0" w:type="dxa"/>
        <w:shd w:val="clear" w:color="auto" w:fill="auto"/>
        <w:tblLayout w:type="autofit"/>
        <w:tblCellMar>
          <w:top w:w="0" w:type="dxa"/>
          <w:left w:w="0" w:type="dxa"/>
          <w:bottom w:w="0" w:type="dxa"/>
          <w:right w:w="0" w:type="dxa"/>
        </w:tblCellMar>
      </w:tblPr>
      <w:tblGrid>
        <w:gridCol w:w="13260"/>
      </w:tblGrid>
      <w:tr w14:paraId="76BFF55D">
        <w:tblPrEx>
          <w:shd w:val="clear" w:color="auto" w:fill="auto"/>
          <w:tblCellMar>
            <w:top w:w="0" w:type="dxa"/>
            <w:left w:w="0" w:type="dxa"/>
            <w:bottom w:w="0" w:type="dxa"/>
            <w:right w:w="0" w:type="dxa"/>
          </w:tblCellMar>
        </w:tblPrEx>
        <w:trPr>
          <w:trHeight w:val="1050" w:hRule="atLeast"/>
          <w:tblCellSpacing w:w="0" w:type="dxa"/>
          <w:jc w:val="center"/>
        </w:trPr>
        <w:tc>
          <w:tcPr>
            <w:tcW w:w="0" w:type="auto"/>
            <w:shd w:val="clear" w:color="auto" w:fill="auto"/>
            <w:vAlign w:val="center"/>
          </w:tcPr>
          <w:p w14:paraId="74A937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900" w:lineRule="atLeast"/>
              <w:ind w:left="0" w:right="0"/>
              <w:jc w:val="center"/>
              <w:rPr>
                <w:rFonts w:ascii="微软雅黑" w:hAnsi="微软雅黑" w:eastAsia="微软雅黑" w:cs="微软雅黑"/>
                <w:b/>
                <w:color w:val="3D3D36"/>
                <w:sz w:val="48"/>
                <w:szCs w:val="48"/>
              </w:rPr>
            </w:pPr>
            <w:r>
              <w:rPr>
                <w:rFonts w:hint="eastAsia" w:ascii="微软雅黑" w:hAnsi="微软雅黑" w:eastAsia="微软雅黑" w:cs="微软雅黑"/>
                <w:b/>
                <w:i w:val="0"/>
                <w:caps w:val="0"/>
                <w:color w:val="3D3D36"/>
                <w:spacing w:val="0"/>
                <w:sz w:val="48"/>
                <w:szCs w:val="48"/>
              </w:rPr>
              <w:t>千阳县财政局2019年部门综合预算说明</w:t>
            </w:r>
          </w:p>
        </w:tc>
      </w:tr>
    </w:tbl>
    <w:p w14:paraId="436757D0">
      <w:pPr>
        <w:rPr>
          <w:vanish/>
          <w:sz w:val="24"/>
          <w:szCs w:val="24"/>
        </w:rPr>
      </w:pPr>
    </w:p>
    <w:tbl>
      <w:tblPr>
        <w:tblStyle w:val="3"/>
        <w:tblW w:w="5000" w:type="pct"/>
        <w:tblCellSpacing w:w="15" w:type="dxa"/>
        <w:tblInd w:w="0" w:type="dxa"/>
        <w:shd w:val="clear" w:color="auto" w:fill="auto"/>
        <w:tblLayout w:type="autofit"/>
        <w:tblCellMar>
          <w:top w:w="15" w:type="dxa"/>
          <w:left w:w="15" w:type="dxa"/>
          <w:bottom w:w="15" w:type="dxa"/>
          <w:right w:w="15" w:type="dxa"/>
        </w:tblCellMar>
      </w:tblPr>
      <w:tblGrid>
        <w:gridCol w:w="14018"/>
      </w:tblGrid>
      <w:tr w14:paraId="449DDBFB">
        <w:tblPrEx>
          <w:tblCellMar>
            <w:top w:w="15" w:type="dxa"/>
            <w:left w:w="15" w:type="dxa"/>
            <w:bottom w:w="15" w:type="dxa"/>
            <w:right w:w="15" w:type="dxa"/>
          </w:tblCellMar>
        </w:tblPrEx>
        <w:trPr>
          <w:tblCellSpacing w:w="15" w:type="dxa"/>
        </w:trPr>
        <w:tc>
          <w:tcPr>
            <w:tcW w:w="0" w:type="auto"/>
            <w:shd w:val="clear" w:color="auto" w:fill="auto"/>
            <w:tcMar>
              <w:top w:w="0" w:type="dxa"/>
              <w:left w:w="0" w:type="dxa"/>
              <w:bottom w:w="0" w:type="dxa"/>
              <w:right w:w="0" w:type="dxa"/>
            </w:tcMar>
            <w:vAlign w:val="center"/>
          </w:tcPr>
          <w:p w14:paraId="2A79643B">
            <w:pPr>
              <w:rPr>
                <w:rFonts w:hint="eastAsia" w:ascii="微软雅黑" w:hAnsi="微软雅黑" w:eastAsia="微软雅黑" w:cs="微软雅黑"/>
                <w:i w:val="0"/>
                <w:caps w:val="0"/>
                <w:color w:val="2B2B2B"/>
                <w:spacing w:val="0"/>
                <w:sz w:val="18"/>
                <w:szCs w:val="18"/>
              </w:rPr>
            </w:pPr>
          </w:p>
        </w:tc>
      </w:tr>
    </w:tbl>
    <w:p w14:paraId="0B0C4565">
      <w:pPr>
        <w:rPr>
          <w:vanish/>
          <w:sz w:val="24"/>
          <w:szCs w:val="24"/>
        </w:rPr>
      </w:pPr>
    </w:p>
    <w:tbl>
      <w:tblPr>
        <w:tblStyle w:val="3"/>
        <w:tblW w:w="5000" w:type="pct"/>
        <w:tblCellSpacing w:w="15" w:type="dxa"/>
        <w:tblInd w:w="0" w:type="dxa"/>
        <w:shd w:val="clear" w:color="auto" w:fill="auto"/>
        <w:tblLayout w:type="autofit"/>
        <w:tblCellMar>
          <w:top w:w="15" w:type="dxa"/>
          <w:left w:w="15" w:type="dxa"/>
          <w:bottom w:w="15" w:type="dxa"/>
          <w:right w:w="15" w:type="dxa"/>
        </w:tblCellMar>
      </w:tblPr>
      <w:tblGrid>
        <w:gridCol w:w="14018"/>
      </w:tblGrid>
      <w:tr w14:paraId="09C260BD">
        <w:tblPrEx>
          <w:tblCellMar>
            <w:top w:w="15" w:type="dxa"/>
            <w:left w:w="15" w:type="dxa"/>
            <w:bottom w:w="15" w:type="dxa"/>
            <w:right w:w="15" w:type="dxa"/>
          </w:tblCellMar>
        </w:tblPrEx>
        <w:trPr>
          <w:tblCellSpacing w:w="15" w:type="dxa"/>
        </w:trPr>
        <w:tc>
          <w:tcPr>
            <w:tcW w:w="0" w:type="auto"/>
            <w:shd w:val="clear" w:color="auto" w:fill="auto"/>
            <w:tcMar>
              <w:top w:w="0" w:type="dxa"/>
              <w:left w:w="0" w:type="dxa"/>
              <w:bottom w:w="0" w:type="dxa"/>
              <w:right w:w="0" w:type="dxa"/>
            </w:tcMar>
            <w:vAlign w:val="center"/>
          </w:tcPr>
          <w:p w14:paraId="054C3DBB">
            <w:pPr>
              <w:rPr>
                <w:rFonts w:hint="eastAsia" w:ascii="微软雅黑" w:hAnsi="微软雅黑" w:eastAsia="微软雅黑" w:cs="微软雅黑"/>
                <w:i w:val="0"/>
                <w:caps w:val="0"/>
                <w:color w:val="2B2B2B"/>
                <w:spacing w:val="0"/>
                <w:sz w:val="18"/>
                <w:szCs w:val="18"/>
              </w:rPr>
            </w:pPr>
          </w:p>
        </w:tc>
      </w:tr>
    </w:tbl>
    <w:p w14:paraId="5F1431CC">
      <w:pPr>
        <w:rPr>
          <w:vanish/>
          <w:sz w:val="24"/>
          <w:szCs w:val="24"/>
        </w:rPr>
      </w:pPr>
    </w:p>
    <w:tbl>
      <w:tblPr>
        <w:tblStyle w:val="3"/>
        <w:tblW w:w="4750" w:type="pct"/>
        <w:jc w:val="center"/>
        <w:tblCellSpacing w:w="0" w:type="dxa"/>
        <w:shd w:val="clear" w:color="auto" w:fill="auto"/>
        <w:tblLayout w:type="autofit"/>
        <w:tblCellMar>
          <w:top w:w="0" w:type="dxa"/>
          <w:left w:w="0" w:type="dxa"/>
          <w:bottom w:w="0" w:type="dxa"/>
          <w:right w:w="0" w:type="dxa"/>
        </w:tblCellMar>
      </w:tblPr>
      <w:tblGrid>
        <w:gridCol w:w="13260"/>
      </w:tblGrid>
      <w:tr w14:paraId="2F629DFA">
        <w:tblPrEx>
          <w:shd w:val="clear" w:color="auto" w:fill="auto"/>
          <w:tblCellMar>
            <w:top w:w="0" w:type="dxa"/>
            <w:left w:w="0" w:type="dxa"/>
            <w:bottom w:w="0" w:type="dxa"/>
            <w:right w:w="0" w:type="dxa"/>
          </w:tblCellMar>
        </w:tblPrEx>
        <w:trPr>
          <w:tblCellSpacing w:w="0" w:type="dxa"/>
          <w:jc w:val="center"/>
        </w:trPr>
        <w:tc>
          <w:tcPr>
            <w:tcW w:w="0" w:type="auto"/>
            <w:shd w:val="clear" w:color="auto" w:fill="auto"/>
            <w:vAlign w:val="center"/>
          </w:tcPr>
          <w:p w14:paraId="7DD3B1CB">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ascii="黑体" w:hAnsi="宋体" w:eastAsia="黑体" w:cs="黑体"/>
                <w:i w:val="0"/>
                <w:caps w:val="0"/>
                <w:color w:val="2B2B2B"/>
                <w:spacing w:val="0"/>
                <w:kern w:val="0"/>
                <w:sz w:val="32"/>
                <w:szCs w:val="32"/>
                <w:lang w:val="en-US" w:eastAsia="zh-CN" w:bidi="ar"/>
              </w:rPr>
              <w:t>一、部门主要职责及机构设置</w:t>
            </w:r>
          </w:p>
          <w:p w14:paraId="53FDADB4">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ascii="仿宋_GB2312" w:hAnsi="微软雅黑" w:eastAsia="仿宋_GB2312" w:cs="仿宋_GB2312"/>
                <w:i w:val="0"/>
                <w:caps w:val="0"/>
                <w:color w:val="2B2B2B"/>
                <w:spacing w:val="0"/>
                <w:kern w:val="0"/>
                <w:sz w:val="32"/>
                <w:szCs w:val="32"/>
                <w:lang w:val="en-US" w:eastAsia="zh-CN" w:bidi="ar"/>
              </w:rPr>
              <w:t>（一）主要职责</w:t>
            </w:r>
          </w:p>
          <w:p w14:paraId="1DB35893">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1、拟订全县财政发展规划、政策和改革方案并组织实施，参与制定全县宏观经济政策并提出有关政策调整、资金筹措意见。</w:t>
            </w:r>
          </w:p>
          <w:p w14:paraId="23409320">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2、拟订本县财政、财务、地方税收、会计、国有资产管理等方面的规章草案。</w:t>
            </w:r>
          </w:p>
          <w:p w14:paraId="7FBB3D33">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3、负责编制全县和县级政府预决算并向县人民代表大会报告；负责县级政府收支预算执行工作，负责县级部门预决算编制、审核批复及支出经费标准制订工作；负责全县政府预决算信息公开工作，指导镇财政管理工作。</w:t>
            </w:r>
          </w:p>
          <w:p w14:paraId="0DE93659">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4、负责政府非税收入管理，按规定管理行政事业性收费、政府性基金及其他非税收入；管理财政票据，研究拟定全县彩票管理有关办法，按规定管理彩票市场和彩票资金。</w:t>
            </w:r>
          </w:p>
          <w:p w14:paraId="0DE64C93">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5、组织制定全县国库管理制度、国库集中支付制度，指导和监督县级国库业务。按规定开展国库现金管理工作。</w:t>
            </w:r>
          </w:p>
          <w:p w14:paraId="7FA1E4DB">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6、贯彻执行国家税收法律、行政法规和税收调整政策，研究制定本县管理权限内有关税收政策及税收政策调整方案并组织实施。</w:t>
            </w:r>
          </w:p>
          <w:p w14:paraId="3DC0453D">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7、负责制定全县行政事业单位国有资产管理规章制度，按规定管理县本级行政事业单位国有资产，制定需要全县统一规定的开支标准和支出政策；负责制定政府购买服务政策和相关制度；负责制定政府采购制度并监督管理。</w:t>
            </w:r>
          </w:p>
          <w:p w14:paraId="1AFE1CF6">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8、负责审核和汇总编制全县国有资本经营预决算草案，制定全县国有资本经营预算的制度和办法，负责县本级企业国有资本收入和支出管理；拟订并执行企业财务管理相关制度；按规定管理资产评估工作。</w:t>
            </w:r>
          </w:p>
          <w:p w14:paraId="01CC6F83">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9、负责制订全县政府性资金管理制度。负责县级政府性资金的分配、拨付、监督和预算绩效管理工作；负责全县农业综合开发政策制订及资金管理工作；参与制订全县投资政策，制定基本建设财务制度。</w:t>
            </w:r>
          </w:p>
          <w:p w14:paraId="14B158EE">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10、会同有关部门拟订全县社会保障资金(基金)的财务管理制度，编制全县社会保障预决算草案；管理县级财政社会保障和就业及医疗卫生支出，组织协调社会保险费征收管理工作。</w:t>
            </w:r>
          </w:p>
          <w:p w14:paraId="042A4EDF">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11、</w:t>
            </w:r>
            <w:r>
              <w:rPr>
                <w:rFonts w:ascii="仿宋_GB2312" w:hAnsi="宋体" w:eastAsia="仿宋_GB2312" w:cs="仿宋_GB2312"/>
                <w:i w:val="0"/>
                <w:iCs w:val="0"/>
                <w:caps w:val="0"/>
                <w:color w:val="2B2B2B"/>
                <w:spacing w:val="0"/>
                <w:sz w:val="32"/>
                <w:szCs w:val="32"/>
                <w:shd w:val="clear" w:fill="FFFFFF"/>
              </w:rPr>
              <w:t>贯彻执行国家关于政府内外债管理的制度和政策，制定全县政府性债务管理制度和办法，负责统一管理政府内外债务；按规定管理外国政府和国际金融组织贷（赠）款。</w:t>
            </w:r>
          </w:p>
          <w:p w14:paraId="45C15FB4">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firstLineChars="200"/>
              <w:jc w:val="left"/>
            </w:pPr>
            <w:r>
              <w:rPr>
                <w:rFonts w:hint="eastAsia" w:ascii="仿宋_GB2312" w:hAnsi="微软雅黑" w:eastAsia="仿宋_GB2312" w:cs="仿宋_GB2312"/>
                <w:i w:val="0"/>
                <w:caps w:val="0"/>
                <w:color w:val="2B2B2B"/>
                <w:spacing w:val="0"/>
                <w:kern w:val="0"/>
                <w:sz w:val="32"/>
                <w:szCs w:val="32"/>
                <w:lang w:val="en-US" w:eastAsia="zh-CN" w:bidi="ar"/>
              </w:rPr>
              <w:t>12、研究拟订支持金融业改革和发展的财政政策；按规定管理财政政策性金融业务；负责管理道路交通事故社会救助基金；负责政府与社会资本合作工作的办法制定和组织实施。</w:t>
            </w:r>
          </w:p>
          <w:p w14:paraId="5BFE4990">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13、负责管理全县的会计工作；监督和规范会计行为；宣传贯彻国家统一的会计制度；组织实施内部控制规范、会计信息化；负责管理全县会计人员；负责指导和监督本县注册会计师和会计师事务所的业务；审批会计代理记账职业资格。</w:t>
            </w:r>
          </w:p>
          <w:p w14:paraId="3707A338">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14、拟定本县财政监督制度办法；监督财税法规、政策的执行情况；承担财政收支预算执行、财政资金绩效、重点项目建设资金使用、会计监督检查工作；组织协调重大或专项财政监督检查，依法查处违法违规行为；负责局机关及所属单位内部监督检查工作。</w:t>
            </w:r>
          </w:p>
          <w:p w14:paraId="0889C369">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15、承担监督监管企业国有资产保值增值责任。建立和完善国有资产保值增值指标体系，制定考核标准，通过财务核对监管企业国有资产保值增值情况进行监管。改革国有资本授权经营体制，推动国有资本合理流动，优化配置。</w:t>
            </w:r>
          </w:p>
          <w:p w14:paraId="5B5BA78D">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16、指导推进国有企业改革和重组，发展混合所有制经济。组织协调监管企业合并、分立、解散、清算和关闭破产等工作，引导各类资本参与国有企业改革；负责监管企业投资、融资和上市审核工作。</w:t>
            </w:r>
          </w:p>
          <w:p w14:paraId="7DA8A4E9">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17、参与拟订国有资本经营预算有关管理制度和办法，按照有关规定负责国有资本经营预决算编制和执行等工作；负责组织监管企业上交国有资本收益和财政周转金的回收管理工作。</w:t>
            </w:r>
          </w:p>
          <w:p w14:paraId="0FE82D86">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18、负责财政信息和财政宣传工作，负责财政信息化及金财工程建设工作。</w:t>
            </w:r>
          </w:p>
          <w:p w14:paraId="0CEE4609">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19、负责农业综合开发工作。</w:t>
            </w:r>
          </w:p>
          <w:p w14:paraId="43288593">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20、承办县政府交办的其他事项。</w:t>
            </w:r>
          </w:p>
          <w:p w14:paraId="561D4D65">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（二）机构设置</w:t>
            </w:r>
          </w:p>
          <w:p w14:paraId="14AEE6B1">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现内设13个股室：预算股、国库股、政秘股、综合股、经济建设股、社保股、国有资产管理股、采购股、财务股、国产股、农业股、农综股、农发股。</w:t>
            </w:r>
          </w:p>
          <w:p w14:paraId="3ADD717D">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黑体" w:hAnsi="宋体" w:eastAsia="黑体" w:cs="黑体"/>
                <w:i w:val="0"/>
                <w:caps w:val="0"/>
                <w:color w:val="2B2B2B"/>
                <w:spacing w:val="0"/>
                <w:kern w:val="0"/>
                <w:sz w:val="32"/>
                <w:szCs w:val="32"/>
                <w:lang w:val="en-US" w:eastAsia="zh-CN" w:bidi="ar"/>
              </w:rPr>
              <w:t>二、2019年年度部门工作任务</w:t>
            </w:r>
          </w:p>
          <w:p w14:paraId="7BAB4606">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（一）多措并举抓收入。2019年全县地方财政收入完成8855万元，同比增长6%，其中：财政局2346万元，税务局6539万元。</w:t>
            </w:r>
          </w:p>
          <w:p w14:paraId="365D2F1A">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（二）千方百计抓争资。全县争取资金13.48亿元，其中：财政局争取资金5.05亿元。</w:t>
            </w:r>
          </w:p>
          <w:p w14:paraId="330E75CC">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（三）强化支出促管理。按照财政收入计划和现行财政体制测算，2019年全县公共财政预算支出113197万元。</w:t>
            </w:r>
          </w:p>
          <w:p w14:paraId="3BEC761E">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（四）凝心聚力惠民生。助推实施重点项目建设，聚焦扶贫着力强三农，统筹财力全力惠民生。</w:t>
            </w:r>
          </w:p>
          <w:p w14:paraId="6A08D24E">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（五）深化改革强监管。加强预算跟踪监管，加大涉农整合有效使用资金，加强国有资产监管，规范政府采购管理，健全政府债务管理机制，健全内部控制制度，推进财政法治建设步伐。</w:t>
            </w:r>
          </w:p>
          <w:p w14:paraId="46A40439">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（六）健全机构强队伍。</w:t>
            </w:r>
            <w:r>
              <w:rPr>
                <w:rFonts w:hint="eastAsia" w:ascii="仿宋_GB2312" w:hAnsi="微软雅黑" w:eastAsia="仿宋_GB2312" w:cs="仿宋_GB2312"/>
                <w:i w:val="0"/>
                <w:caps w:val="0"/>
                <w:color w:val="2B2B2B"/>
                <w:spacing w:val="0"/>
                <w:kern w:val="0"/>
                <w:sz w:val="32"/>
                <w:szCs w:val="32"/>
                <w:lang w:val="en-US" w:eastAsia="zh-CN" w:bidi="ar"/>
              </w:rPr>
              <w:t>落实</w:t>
            </w:r>
            <w:r>
              <w:rPr>
                <w:rFonts w:hint="eastAsia" w:ascii="仿宋_GB2312" w:hAnsi="微软雅黑" w:eastAsia="仿宋_GB2312" w:cs="仿宋_GB2312"/>
                <w:i w:val="0"/>
                <w:caps w:val="0"/>
                <w:color w:val="2B2B2B"/>
                <w:spacing w:val="0"/>
                <w:kern w:val="0"/>
                <w:sz w:val="32"/>
                <w:szCs w:val="32"/>
                <w:lang w:val="en-US" w:eastAsia="zh-CN" w:bidi="ar"/>
              </w:rPr>
              <w:t>全面从严治党，完善制度健全激励机制，抓学习重教育提素质，加强精神文明建设。</w:t>
            </w:r>
          </w:p>
          <w:p w14:paraId="28D0E887">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黑体" w:hAnsi="宋体" w:eastAsia="黑体" w:cs="黑体"/>
                <w:i w:val="0"/>
                <w:caps w:val="0"/>
                <w:color w:val="2B2B2B"/>
                <w:spacing w:val="0"/>
                <w:kern w:val="0"/>
                <w:sz w:val="32"/>
                <w:szCs w:val="32"/>
                <w:lang w:val="en-US" w:eastAsia="zh-CN" w:bidi="ar"/>
              </w:rPr>
              <w:t>三、部门预算单位构成</w:t>
            </w:r>
          </w:p>
          <w:p w14:paraId="63208BEE">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从预算单位构成看，本部门的部门预算包括部门本级（机关）预算和所属二级单位预算。</w:t>
            </w:r>
          </w:p>
          <w:p w14:paraId="742A7873">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纳入本部门2019年部门预算编制范围的二级预算单位共有1个，包括：</w:t>
            </w:r>
          </w:p>
          <w:tbl>
            <w:tblPr>
              <w:tblStyle w:val="3"/>
              <w:tblW w:w="8213"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051"/>
              <w:gridCol w:w="7162"/>
            </w:tblGrid>
            <w:tr w14:paraId="44CE311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051" w:type="dxa"/>
                  <w:tcBorders>
                    <w:top w:val="single" w:color="auto" w:sz="8" w:space="0"/>
                    <w:left w:val="single" w:color="auto" w:sz="8" w:space="0"/>
                    <w:bottom w:val="single" w:color="auto" w:sz="8" w:space="0"/>
                    <w:right w:val="single" w:color="auto" w:sz="8" w:space="0"/>
                  </w:tcBorders>
                  <w:shd w:val="clear" w:color="auto" w:fill="auto"/>
                  <w:tcMar>
                    <w:left w:w="108" w:type="dxa"/>
                    <w:right w:w="108" w:type="dxa"/>
                  </w:tcMar>
                  <w:vAlign w:val="top"/>
                </w:tcPr>
                <w:p w14:paraId="0339B3CD">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0"/>
                    <w:jc w:val="center"/>
                  </w:pPr>
                  <w:r>
                    <w:rPr>
                      <w:rFonts w:hint="eastAsia" w:ascii="仿宋_GB2312" w:eastAsia="仿宋_GB2312" w:cs="仿宋_GB2312" w:hAnsiTheme="minorHAnsi"/>
                      <w:kern w:val="0"/>
                      <w:sz w:val="32"/>
                      <w:szCs w:val="32"/>
                      <w:vertAlign w:val="baseline"/>
                      <w:lang w:val="en-US" w:eastAsia="zh-CN" w:bidi="ar"/>
                    </w:rPr>
                    <w:t>序号</w:t>
                  </w:r>
                </w:p>
              </w:tc>
              <w:tc>
                <w:tcPr>
                  <w:tcW w:w="7162" w:type="dxa"/>
                  <w:tcBorders>
                    <w:top w:val="single" w:color="auto" w:sz="8" w:space="0"/>
                    <w:left w:val="nil"/>
                    <w:bottom w:val="single" w:color="auto" w:sz="8" w:space="0"/>
                    <w:right w:val="single" w:color="auto" w:sz="8" w:space="0"/>
                  </w:tcBorders>
                  <w:shd w:val="clear" w:color="auto" w:fill="auto"/>
                  <w:tcMar>
                    <w:left w:w="108" w:type="dxa"/>
                    <w:right w:w="108" w:type="dxa"/>
                  </w:tcMar>
                  <w:vAlign w:val="top"/>
                </w:tcPr>
                <w:p w14:paraId="58055309">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0"/>
                    <w:jc w:val="center"/>
                  </w:pPr>
                  <w:r>
                    <w:rPr>
                      <w:rFonts w:hint="eastAsia" w:ascii="仿宋_GB2312" w:eastAsia="仿宋_GB2312" w:cs="仿宋_GB2312" w:hAnsiTheme="minorHAnsi"/>
                      <w:kern w:val="0"/>
                      <w:sz w:val="32"/>
                      <w:szCs w:val="32"/>
                      <w:vertAlign w:val="baseline"/>
                      <w:lang w:val="en-US" w:eastAsia="zh-CN" w:bidi="ar"/>
                    </w:rPr>
                    <w:t>单位名称</w:t>
                  </w:r>
                </w:p>
              </w:tc>
            </w:tr>
            <w:tr w14:paraId="395400D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0" w:type="dxa"/>
                  <w:left w:w="0" w:type="dxa"/>
                  <w:bottom w:w="0" w:type="dxa"/>
                  <w:right w:w="0" w:type="dxa"/>
                </w:tblCellMar>
              </w:tblPrEx>
              <w:trPr>
                <w:jc w:val="center"/>
              </w:trPr>
              <w:tc>
                <w:tcPr>
                  <w:tcW w:w="105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093EC811">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0"/>
                    <w:jc w:val="center"/>
                  </w:pPr>
                  <w:r>
                    <w:rPr>
                      <w:rFonts w:hint="eastAsia" w:ascii="仿宋_GB2312" w:eastAsia="仿宋_GB2312" w:cs="仿宋_GB2312" w:hAnsiTheme="minorHAnsi"/>
                      <w:kern w:val="0"/>
                      <w:sz w:val="32"/>
                      <w:szCs w:val="32"/>
                      <w:vertAlign w:val="baseline"/>
                      <w:lang w:val="en-US" w:eastAsia="zh-CN" w:bidi="ar"/>
                    </w:rPr>
                    <w:t>1</w:t>
                  </w:r>
                </w:p>
              </w:tc>
              <w:tc>
                <w:tcPr>
                  <w:tcW w:w="7162" w:type="dxa"/>
                  <w:tcBorders>
                    <w:top w:val="nil"/>
                    <w:left w:val="nil"/>
                    <w:bottom w:val="single" w:color="auto" w:sz="8" w:space="0"/>
                    <w:right w:val="single" w:color="auto" w:sz="8" w:space="0"/>
                  </w:tcBorders>
                  <w:shd w:val="clear" w:color="auto" w:fill="auto"/>
                  <w:tcMar>
                    <w:left w:w="108" w:type="dxa"/>
                    <w:right w:w="108" w:type="dxa"/>
                  </w:tcMar>
                  <w:vAlign w:val="top"/>
                </w:tcPr>
                <w:p w14:paraId="45B705B5">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0"/>
                    <w:jc w:val="left"/>
                  </w:pPr>
                  <w:r>
                    <w:rPr>
                      <w:rFonts w:hint="eastAsia" w:ascii="仿宋_GB2312" w:eastAsia="仿宋_GB2312" w:cs="仿宋_GB2312" w:hAnsiTheme="minorHAnsi"/>
                      <w:kern w:val="0"/>
                      <w:sz w:val="32"/>
                      <w:szCs w:val="32"/>
                      <w:vertAlign w:val="baseline"/>
                      <w:lang w:val="en-US" w:eastAsia="zh-CN" w:bidi="ar"/>
                    </w:rPr>
                    <w:t>千阳县财政局部门本级（机关）</w:t>
                  </w:r>
                </w:p>
              </w:tc>
            </w:tr>
            <w:tr w14:paraId="79F4855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0" w:type="dxa"/>
                  <w:left w:w="0" w:type="dxa"/>
                  <w:bottom w:w="0" w:type="dxa"/>
                  <w:right w:w="0" w:type="dxa"/>
                </w:tblCellMar>
              </w:tblPrEx>
              <w:trPr>
                <w:jc w:val="center"/>
              </w:trPr>
              <w:tc>
                <w:tcPr>
                  <w:tcW w:w="1051" w:type="dxa"/>
                  <w:tcBorders>
                    <w:top w:val="nil"/>
                    <w:left w:val="single" w:color="auto" w:sz="8" w:space="0"/>
                    <w:bottom w:val="single" w:color="auto" w:sz="8" w:space="0"/>
                    <w:right w:val="single" w:color="auto" w:sz="8" w:space="0"/>
                  </w:tcBorders>
                  <w:shd w:val="clear" w:color="auto" w:fill="auto"/>
                  <w:tcMar>
                    <w:left w:w="108" w:type="dxa"/>
                    <w:right w:w="108" w:type="dxa"/>
                  </w:tcMar>
                  <w:vAlign w:val="top"/>
                </w:tcPr>
                <w:p w14:paraId="7237EE45">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0"/>
                    <w:jc w:val="center"/>
                  </w:pPr>
                  <w:r>
                    <w:rPr>
                      <w:rFonts w:hint="eastAsia" w:ascii="仿宋_GB2312" w:eastAsia="仿宋_GB2312" w:cs="仿宋_GB2312" w:hAnsiTheme="minorHAnsi"/>
                      <w:kern w:val="0"/>
                      <w:sz w:val="32"/>
                      <w:szCs w:val="32"/>
                      <w:vertAlign w:val="baseline"/>
                      <w:lang w:val="en-US" w:eastAsia="zh-CN" w:bidi="ar"/>
                    </w:rPr>
                    <w:t>2</w:t>
                  </w:r>
                </w:p>
              </w:tc>
              <w:tc>
                <w:tcPr>
                  <w:tcW w:w="7162" w:type="dxa"/>
                  <w:tcBorders>
                    <w:top w:val="nil"/>
                    <w:left w:val="nil"/>
                    <w:bottom w:val="single" w:color="auto" w:sz="8" w:space="0"/>
                    <w:right w:val="single" w:color="auto" w:sz="8" w:space="0"/>
                  </w:tcBorders>
                  <w:shd w:val="clear" w:color="auto" w:fill="auto"/>
                  <w:tcMar>
                    <w:left w:w="108" w:type="dxa"/>
                    <w:right w:w="108" w:type="dxa"/>
                  </w:tcMar>
                  <w:vAlign w:val="top"/>
                </w:tcPr>
                <w:p w14:paraId="2ED449DB">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0"/>
                    <w:jc w:val="left"/>
                  </w:pPr>
                  <w:r>
                    <w:rPr>
                      <w:rFonts w:hint="eastAsia" w:ascii="仿宋_GB2312" w:eastAsia="仿宋_GB2312" w:cs="仿宋_GB2312" w:hAnsiTheme="minorHAnsi"/>
                      <w:kern w:val="0"/>
                      <w:sz w:val="32"/>
                      <w:szCs w:val="32"/>
                      <w:vertAlign w:val="baseline"/>
                      <w:lang w:val="en-US" w:eastAsia="zh-CN" w:bidi="ar"/>
                    </w:rPr>
                    <w:t>千阳县国库集中支付局</w:t>
                  </w:r>
                </w:p>
              </w:tc>
            </w:tr>
          </w:tbl>
          <w:p w14:paraId="33343926">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黑体" w:hAnsi="宋体" w:eastAsia="黑体" w:cs="黑体"/>
                <w:i w:val="0"/>
                <w:caps w:val="0"/>
                <w:color w:val="2B2B2B"/>
                <w:spacing w:val="0"/>
                <w:kern w:val="0"/>
                <w:sz w:val="32"/>
                <w:szCs w:val="32"/>
                <w:lang w:val="en-US" w:eastAsia="zh-CN" w:bidi="ar"/>
              </w:rPr>
              <w:t>四、部门人员情况说明</w:t>
            </w:r>
          </w:p>
          <w:p w14:paraId="00DACBEA">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县财政局总编制41名，其中行政编制35名，事业编制16名；实有在职人员58人，退休人员19人。</w:t>
            </w:r>
          </w:p>
          <w:p w14:paraId="0FB4CBE2">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黑体" w:hAnsi="宋体" w:eastAsia="黑体" w:cs="黑体"/>
                <w:i w:val="0"/>
                <w:caps w:val="0"/>
                <w:color w:val="2B2B2B"/>
                <w:spacing w:val="0"/>
                <w:kern w:val="0"/>
                <w:sz w:val="32"/>
                <w:szCs w:val="32"/>
                <w:lang w:val="en-US" w:eastAsia="zh-CN" w:bidi="ar"/>
              </w:rPr>
              <w:t>五、部门国有资产占有使用及资产购置情况说明</w:t>
            </w:r>
          </w:p>
          <w:p w14:paraId="59CE34FA">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截至2018年底，本部门所属预算单位共有车辆0辆，单台价值20万元以上的设备0台。</w:t>
            </w:r>
          </w:p>
          <w:p w14:paraId="2E9FB639">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2019年部门预算安排购置车辆0辆；安排购置单价20万元以上的设备0台（套）。</w:t>
            </w:r>
          </w:p>
          <w:p w14:paraId="721A083B">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黑体" w:hAnsi="宋体" w:eastAsia="黑体" w:cs="黑体"/>
                <w:i w:val="0"/>
                <w:caps w:val="0"/>
                <w:color w:val="2B2B2B"/>
                <w:spacing w:val="0"/>
                <w:kern w:val="0"/>
                <w:sz w:val="32"/>
                <w:szCs w:val="32"/>
                <w:lang w:val="en-US" w:eastAsia="zh-CN" w:bidi="ar"/>
              </w:rPr>
              <w:t>六、部门预算绩效目标说明</w:t>
            </w:r>
          </w:p>
          <w:p w14:paraId="2C400AD2">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2019年本部门实现了绩效目标管理全覆盖，涉及一般公共预算当年拨款1793.5万元。</w:t>
            </w:r>
          </w:p>
          <w:p w14:paraId="12F2F11D">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黑体" w:hAnsi="宋体" w:eastAsia="黑体" w:cs="黑体"/>
                <w:i w:val="0"/>
                <w:caps w:val="0"/>
                <w:color w:val="2B2B2B"/>
                <w:spacing w:val="0"/>
                <w:kern w:val="0"/>
                <w:sz w:val="32"/>
                <w:szCs w:val="32"/>
                <w:lang w:val="en-US" w:eastAsia="zh-CN" w:bidi="ar"/>
              </w:rPr>
              <w:t>七、2019年部门预算收支说明</w:t>
            </w:r>
          </w:p>
          <w:p w14:paraId="0256C6EF">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（一）收支预算总体情况。</w:t>
            </w:r>
          </w:p>
          <w:p w14:paraId="4EBE385F">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2019年本部门预算收入1793.5万元，其中一般公共预算拨款收入1793.5万元，2019年本部门预算收入较上年增加10.2万元，主要原因是2019年在职人员工资标准调整及机关事业单位养老保险、住房公积金增加；2019年本部门预算支出1793.5万元，其中一般公共预算拨款支出1793.5万元，2019年本部门预算支出较上年增加10.2万元，主要原因是2019年在职人员工资标准调整及机关事业单位养老保险、住房公积金增加。</w:t>
            </w:r>
          </w:p>
          <w:p w14:paraId="1D52E1F5">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（二）财政拨款收支情况</w:t>
            </w:r>
          </w:p>
          <w:p w14:paraId="27319415">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2019年本部门财政拨款收入1793.5万元，其中一般公共预算拨款收入1793.5万元，2019年本部门财政拨款收入较上年增加10.2万元，主要原因是2019年在职人员工资标准调整及机关事业单位养老保险、住房公积金增加；2019年本部门财政拨款支出1793.5万元，其中一般公共预算拨款支出1793.5万元，2019年本部门财政拨款支出较上年增加10.2万元，主要原因是2019年在职人员工资标准调整及机关事业单位养老保险、住房公积金等增加。</w:t>
            </w:r>
          </w:p>
          <w:p w14:paraId="70A82987">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（三）一般公共预算拨款支出明细情况。</w:t>
            </w:r>
          </w:p>
          <w:p w14:paraId="5AD9A824">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1、一般公共预算当年拨款规模变化情况</w:t>
            </w:r>
          </w:p>
          <w:p w14:paraId="4CEF0A12">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2019年本部门一般公共预算拨款支出1793.5万元，较上年增加10.2万元，主要原因是2019年在职人员工资标准调整及机关事业单位养老保险、住房公积金等增加。</w:t>
            </w:r>
          </w:p>
          <w:p w14:paraId="162A497D">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2.支出按功能科目分类的明细情况</w:t>
            </w:r>
          </w:p>
          <w:p w14:paraId="3A5FC31C">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本部门2019年一般公共预算支出1793.5万元，其中：</w:t>
            </w:r>
          </w:p>
          <w:p w14:paraId="035C8276">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（1）行政运行（2010601）673.1万元，较上年增加4万元，原因是2019年在职人员工资标准调整及机关事业单位养老保险增加。</w:t>
            </w:r>
          </w:p>
          <w:p w14:paraId="75188B9A">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（2）财政国库业务（2010605）10万元，较上年增加10万元，原因是进一步加强全县国库集中支付业务管理。</w:t>
            </w:r>
          </w:p>
          <w:p w14:paraId="5E0776AF">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（3）财政监察（2010606）5万元，与上年持平。</w:t>
            </w:r>
          </w:p>
          <w:p w14:paraId="4DF62B6C">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（4）信息化建设（2010607）32万元，较上年减少9万元，原因是年内压缩“金财工程”等信息化建设等方面的支出。</w:t>
            </w:r>
          </w:p>
          <w:p w14:paraId="2184E537">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（5）其他财政事务支出（2010699）23万元，较上年增加4万元，原因是2019年开展新政府会计制度学习培训。</w:t>
            </w:r>
          </w:p>
          <w:p w14:paraId="761F708A">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（6）住房公积金（2210201）50.4万元，较上年增加1.2万元，原因是在职人员工资标准调整。</w:t>
            </w:r>
          </w:p>
          <w:p w14:paraId="56741591">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（7）预备费（227）1000万元，与上年持平。</w:t>
            </w:r>
          </w:p>
          <w:p w14:paraId="05804CBC">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3、支出按经济科目分类的明细情况</w:t>
            </w:r>
          </w:p>
          <w:p w14:paraId="161B62B0">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（1）按照部门预算支出经济分类的类级科目说明。</w:t>
            </w:r>
          </w:p>
          <w:p w14:paraId="2C86CACF">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2019年本部门一般公共预算支出1793.5万元，其中：</w:t>
            </w:r>
          </w:p>
          <w:p w14:paraId="05D4B9D4">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工资福利支出（301）653.1万元，较上年增加7万元，原因是在职人员工资标准调整；</w:t>
            </w:r>
          </w:p>
          <w:p w14:paraId="414069E8">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商品和服务支出（302）63.3万元，较上年减少2.4万元，原因是年内大力压缩一般性支出；</w:t>
            </w:r>
          </w:p>
          <w:p w14:paraId="4C13CD81">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对个人和家庭的补助支出（303）7.1万元，较上年增加0.6万元，原因是年内一名退休人员去世增加遗属补助；</w:t>
            </w:r>
          </w:p>
          <w:p w14:paraId="5D793607">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其他支出（399）1070万元，较上年增加5万元，原因是进一步加强全县国库集中支付业务管理，开展新政府会计制度学习培训等。</w:t>
            </w:r>
          </w:p>
          <w:p w14:paraId="726C3E50">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（2）按照政府预算支出经济分类的类级科目说明。</w:t>
            </w:r>
          </w:p>
          <w:p w14:paraId="60EE7C78">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2019年本部门一般公共预算支出1793.5万元，其中：</w:t>
            </w:r>
          </w:p>
          <w:p w14:paraId="2C69CA59">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机关工资福利支出（501）653.1万元，较上年增加7万元，原因是在职人员工资标准调整；</w:t>
            </w:r>
          </w:p>
          <w:p w14:paraId="5C116653">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机关商品和服务支出（502）63.3万元，较上年减少2.4万元，原因是年内大力压缩一般性支出；</w:t>
            </w:r>
          </w:p>
          <w:p w14:paraId="2F2BFCE3">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对个人和家庭的补助（509）7.1万元，较上年增加0.6万元，原因是年内退休人员去世增加遗属补助；</w:t>
            </w:r>
          </w:p>
          <w:p w14:paraId="10926707">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其他支出（599）1070万元，较上年增加5万元，原因是进一步加强全县国库集中支付业务管理，开展新政府会计制度学习培训等。</w:t>
            </w:r>
          </w:p>
          <w:p w14:paraId="191C6B4D">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（四）</w:t>
            </w:r>
            <w:bookmarkStart w:id="0" w:name="_GoBack"/>
            <w:bookmarkEnd w:id="0"/>
            <w:r>
              <w:rPr>
                <w:rFonts w:hint="eastAsia" w:ascii="仿宋_GB2312" w:hAnsi="微软雅黑" w:eastAsia="仿宋_GB2312" w:cs="仿宋_GB2312"/>
                <w:i w:val="0"/>
                <w:caps w:val="0"/>
                <w:color w:val="2B2B2B"/>
                <w:spacing w:val="0"/>
                <w:kern w:val="0"/>
                <w:sz w:val="32"/>
                <w:szCs w:val="32"/>
                <w:lang w:val="en-US" w:eastAsia="zh-CN" w:bidi="ar"/>
              </w:rPr>
              <w:t>政府性基金预算支出情况</w:t>
            </w:r>
          </w:p>
          <w:p w14:paraId="45F64EC7">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2019年本部门无政府性基金预算收支，并已公开空表。</w:t>
            </w:r>
          </w:p>
          <w:p w14:paraId="06326EE7">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(五）国有资本经营预算拨款收支情况</w:t>
            </w:r>
          </w:p>
          <w:p w14:paraId="5F56E73A">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2019年本部门无国有资本经营预算拨款收支。</w:t>
            </w:r>
          </w:p>
          <w:p w14:paraId="391E019C">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（六）“三公”经费等预算情况。</w:t>
            </w:r>
          </w:p>
          <w:p w14:paraId="57F233B9">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2019年本部门一般公共预算“三公”经费预算支出8.5万元，较上年减少1.9万元（18.3%），减少的主要原因是我单位大力压缩公务接待，严格执行接待办法，对接待费预算从总量上进行了控制和压减。其中：因公出国（境）经费0万元；公务接待费8.5万元，较上年减少1.9万元（18.3%）减少的主要原因是我单位大力压缩公务接待，严格执行接待办法，对接待费预算从总量上进行了控制和压减；公务用车购置及运行维护费0万元。</w:t>
            </w:r>
          </w:p>
          <w:p w14:paraId="659EB8E8">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2019年会议费预算0万元。</w:t>
            </w:r>
          </w:p>
          <w:p w14:paraId="7598F646">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2019年培训费预算0万元。</w:t>
            </w:r>
          </w:p>
          <w:p w14:paraId="15EABEDD">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（七）机关运行经费安排情况</w:t>
            </w:r>
          </w:p>
          <w:p w14:paraId="0C284125">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本部门2019年机关运行经费预算63.3万元，较上年减少2.4万元，主要原因是年内大力压缩一般性支出。</w:t>
            </w:r>
          </w:p>
          <w:p w14:paraId="4F263B13">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（八）政府采购情况</w:t>
            </w:r>
          </w:p>
          <w:p w14:paraId="6ED6FB19">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本部门2019年无政府采购预算，并已公开空表。</w:t>
            </w:r>
          </w:p>
          <w:p w14:paraId="6D705E97">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黑体" w:hAnsi="宋体" w:eastAsia="黑体" w:cs="黑体"/>
                <w:i w:val="0"/>
                <w:caps w:val="0"/>
                <w:color w:val="2B2B2B"/>
                <w:spacing w:val="0"/>
                <w:kern w:val="0"/>
                <w:sz w:val="32"/>
                <w:szCs w:val="32"/>
                <w:lang w:val="en-US" w:eastAsia="zh-CN" w:bidi="ar"/>
              </w:rPr>
              <w:t>八、专业名词解释</w:t>
            </w:r>
          </w:p>
          <w:p w14:paraId="08D0DA21">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1、机关运行经费：指各部门的公用经费，包括办公及印刷费、邮电费、差旅费、会议费、福利费、日常维修费、专用材料及一般设备购置费、办公用房水电费、办公用房取暖费、办公用房物业管理费、公务用车运行维护费以及其他费用。</w:t>
            </w:r>
          </w:p>
          <w:p w14:paraId="4E5A7D89">
            <w:pPr>
              <w:keepNext w:val="0"/>
              <w:keepLines w:val="0"/>
              <w:widowControl/>
              <w:suppressLineNumbers w:val="0"/>
              <w:pBdr>
                <w:top w:val="none" w:color="auto" w:sz="0" w:space="0"/>
                <w:left w:val="none" w:color="auto" w:sz="0" w:space="0"/>
                <w:bottom w:val="none" w:color="auto" w:sz="0" w:space="0"/>
                <w:right w:val="none" w:color="auto" w:sz="0" w:space="0"/>
              </w:pBdr>
              <w:spacing w:before="60" w:beforeAutospacing="0" w:after="0" w:afterAutospacing="0" w:line="378" w:lineRule="atLeast"/>
              <w:ind w:left="0" w:right="0" w:firstLine="640"/>
              <w:jc w:val="left"/>
            </w:pPr>
            <w:r>
              <w:rPr>
                <w:rFonts w:hint="eastAsia" w:ascii="仿宋_GB2312" w:hAnsi="微软雅黑" w:eastAsia="仿宋_GB2312" w:cs="仿宋_GB2312"/>
                <w:i w:val="0"/>
                <w:caps w:val="0"/>
                <w:color w:val="2B2B2B"/>
                <w:spacing w:val="0"/>
                <w:kern w:val="0"/>
                <w:sz w:val="32"/>
                <w:szCs w:val="32"/>
                <w:lang w:val="en-US" w:eastAsia="zh-CN" w:bidi="ar"/>
              </w:rPr>
              <w:t>2、“三公”经费：是指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支出。</w:t>
            </w:r>
          </w:p>
        </w:tc>
      </w:tr>
    </w:tbl>
    <w:p w14:paraId="5DE69996"/>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312C79"/>
    <w:rsid w:val="29B2127E"/>
    <w:rsid w:val="3A312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4085</Words>
  <Characters>4435</Characters>
  <Lines>0</Lines>
  <Paragraphs>0</Paragraphs>
  <TotalTime>7</TotalTime>
  <ScaleCrop>false</ScaleCrop>
  <LinksUpToDate>false</LinksUpToDate>
  <CharactersWithSpaces>4437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2020-03-13T09:45:00Z</dcterms:created>
  <dc:creator>随遇而安</dc:creator>
  <cp:lastModifiedBy>闫智科</cp:lastModifiedBy>
  <dcterms:modified xsi:type="dcterms:W3CDTF">2026-07-29T03:39:18Z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eyJoZGlkIjoiNmJjNDgxYTVmMGZlOTI1ZjdmNzJjMmJkNmI5NmJhMDAiLCJ1c2VySWQiOiI2ODUzMDgzNjkifQ==</vt:lpwstr>
  </property>
  <property fmtid="{D5CDD505-2E9C-101B-9397-08002B2CF9AE}" pid="4" name="ICV">
    <vt:lpwstr>55C1F13282884111A2F126309631F737_12</vt:lpwstr>
  </property>
</Properties>
</file>