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77B317C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6E11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900" w:lineRule="atLeast"/>
              <w:ind w:left="0" w:right="0"/>
              <w:jc w:val="center"/>
              <w:rPr>
                <w:rFonts w:ascii="微软雅黑" w:hAnsi="微软雅黑" w:eastAsia="微软雅黑" w:cs="微软雅黑"/>
                <w:b/>
                <w:color w:val="3D3D36"/>
                <w:sz w:val="48"/>
                <w:szCs w:val="48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D3D36"/>
                <w:spacing w:val="0"/>
                <w:sz w:val="48"/>
                <w:szCs w:val="48"/>
              </w:rPr>
              <w:t>千阳县委老干部工作局2019年部门综合预算说明</w:t>
            </w:r>
          </w:p>
        </w:tc>
      </w:tr>
    </w:tbl>
    <w:p w14:paraId="72E5E24E">
      <w:pPr>
        <w:rPr>
          <w:vanish/>
          <w:sz w:val="24"/>
          <w:szCs w:val="24"/>
        </w:rPr>
      </w:pPr>
    </w:p>
    <w:tbl>
      <w:tblPr>
        <w:tblStyle w:val="3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66948D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723C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72D923CD">
      <w:pPr>
        <w:rPr>
          <w:vanish/>
          <w:sz w:val="24"/>
          <w:szCs w:val="24"/>
        </w:rPr>
      </w:pPr>
    </w:p>
    <w:tbl>
      <w:tblPr>
        <w:tblStyle w:val="3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40BCA5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35ED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646E943E">
      <w:pPr>
        <w:rPr>
          <w:vanish/>
          <w:sz w:val="24"/>
          <w:szCs w:val="24"/>
        </w:rPr>
      </w:pPr>
    </w:p>
    <w:tbl>
      <w:tblPr>
        <w:tblStyle w:val="3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4BDC16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B21AF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一、部门主要职责及机构设置</w:t>
            </w:r>
          </w:p>
          <w:p w14:paraId="7F8C17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（一）贯彻执行党和国家离退休干部工作方针政策。</w:t>
            </w:r>
          </w:p>
          <w:p w14:paraId="177772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（二）全面落实离休干部的政治待遇。加强离退休干部党支部建设和思想政治建设，指导离退休干部的教育管理工作，引导离退休干部为党的事业增添正能量。</w:t>
            </w:r>
          </w:p>
          <w:p w14:paraId="4E7F2C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（三）督促检查落实老干部生活待遇，协调有关部门落实老干部生活待遇政策。</w:t>
            </w:r>
          </w:p>
          <w:p w14:paraId="5F8611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（四）围绕党的中心工作，组织离退休干部发挥积极作用。</w:t>
            </w:r>
          </w:p>
          <w:p w14:paraId="3CA93B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（五）积极协调人社、财政、卫生等有关部门共同做好离退休干部工作。</w:t>
            </w:r>
          </w:p>
          <w:p w14:paraId="5A6116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（六）引领和指导全省老年教育（老年大学）工作，组织指导离退休干部开展形式多样、健康有益的文化娱乐和体育健身活动，丰富活跃老同志的精神文化生活。</w:t>
            </w:r>
          </w:p>
          <w:p w14:paraId="6A374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（七）做好全县离退休干部的信息库、信访工作。</w:t>
            </w:r>
          </w:p>
          <w:p w14:paraId="100C8B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（八）指导离退休干部的丧事处理和对离退休干部遗属的照料工作。</w:t>
            </w:r>
          </w:p>
          <w:p w14:paraId="2386F1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（九）完成县委交办的其他工作任务。</w:t>
            </w:r>
          </w:p>
          <w:p w14:paraId="7CF849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（十）县委老干部局设综合组一个组室。</w:t>
            </w:r>
          </w:p>
          <w:p w14:paraId="4E2C3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二、2019年度部门工作任务</w:t>
            </w:r>
          </w:p>
          <w:p w14:paraId="574150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（一）全面加强离退休干部党的建设；</w:t>
            </w:r>
          </w:p>
          <w:p w14:paraId="2FAEA2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（二）着力提升离退休干部服务管理质量和水平；</w:t>
            </w:r>
          </w:p>
          <w:p w14:paraId="4361A5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（三）充分发挥离退休干部优势和作用；</w:t>
            </w:r>
          </w:p>
          <w:p w14:paraId="1F531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（四）精心组织开展庆祝新中国成立70周年系列活动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；</w:t>
            </w:r>
          </w:p>
          <w:p w14:paraId="3DED64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（五）积极推进学习活动阵地建设；</w:t>
            </w:r>
          </w:p>
          <w:p w14:paraId="18B727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（六）大力推进信息化建设；</w:t>
            </w:r>
          </w:p>
          <w:p w14:paraId="2A4E7D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6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lang w:val="en-US" w:eastAsia="zh-CN" w:bidi="ar"/>
              </w:rPr>
              <w:t>（七）切实加强组织领导和老干部工作队伍建设；</w:t>
            </w:r>
          </w:p>
          <w:p w14:paraId="15425C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（八）完成县委交办的其他任务。</w:t>
            </w:r>
          </w:p>
          <w:p w14:paraId="61770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三、部门预算单位构成</w:t>
            </w:r>
          </w:p>
          <w:p w14:paraId="09B791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从预算单位构成看，本部门的部门预算包括部门本级（机关）预算。</w:t>
            </w:r>
          </w:p>
          <w:tbl>
            <w:tblPr>
              <w:tblStyle w:val="3"/>
              <w:tblW w:w="8762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68"/>
              <w:gridCol w:w="7394"/>
            </w:tblGrid>
            <w:tr w14:paraId="652262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368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6D376F8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7394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08F01B4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单位名称</w:t>
                  </w:r>
                </w:p>
              </w:tc>
            </w:tr>
            <w:tr w14:paraId="0F90E1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36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35412236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39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415510B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left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中共千阳县委老干部工作局本级（机关）</w:t>
                  </w:r>
                </w:p>
              </w:tc>
            </w:tr>
          </w:tbl>
          <w:p w14:paraId="15C7B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四、部门人员情况说明</w:t>
            </w:r>
          </w:p>
          <w:p w14:paraId="085498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截止2018年底，本部门人员编制2人，其中行政编制2人；实有人员2人，其中行政2人。单位管理的退休人员1人。</w:t>
            </w:r>
          </w:p>
          <w:p w14:paraId="0B0D6C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290" w:lineRule="atLeast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4124325" cy="1676400"/>
                  <wp:effectExtent l="0" t="0" r="9525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920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</w:p>
          <w:p w14:paraId="750D2F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五、部门国有资产占有使用及资产购置情况说明</w:t>
            </w:r>
          </w:p>
          <w:p w14:paraId="3DF8F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截至2018年底，本部门所属预算单位共有车辆0辆。</w:t>
            </w:r>
          </w:p>
          <w:p w14:paraId="157E2A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2019年部门预算未安排购置车辆。</w:t>
            </w:r>
          </w:p>
          <w:p w14:paraId="797E24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六、部门预算绩效目标说明</w:t>
            </w:r>
          </w:p>
          <w:p w14:paraId="137C6E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2019年本部门实现了绩效目标管理全覆盖，涉及一般公共预算当年拨款56万元。</w:t>
            </w:r>
          </w:p>
          <w:p w14:paraId="68D8D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七、2019年部门预算收支说明</w:t>
            </w:r>
          </w:p>
          <w:p w14:paraId="6A3259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（一）收支预算总体情况。</w:t>
            </w:r>
          </w:p>
          <w:p w14:paraId="1138E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预算收入56万元，其中一般公共预算拨款收入56万元，2019年本部门预算收入较上年减少11万元，主要原因是在职人员减少，人员工资福利性支出预算减少；2019年本部门预算支出56万元，其中一般公共预算拨款支出56万元，2019年本部门预算支出较上年减少11万元，主要原因是在职人员减少，人员工资福利性支出减少。</w:t>
            </w:r>
          </w:p>
          <w:p w14:paraId="13300E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（二）财政拨款收支情况</w:t>
            </w:r>
          </w:p>
          <w:p w14:paraId="39C46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财政拨款收入56万元，其中一般公共预算拨款收入56万元，2019年本部门财政拨款收入较上年减少11万元，主要原因是退休1人，人员经费减少；2019年本部门财政拨款支出56万元，其中一般公共预算拨款支出56万元，2019年本部门财政拨款支出较上年减少11万元，主要原因是退休1人，人员经费减少。</w:t>
            </w:r>
          </w:p>
          <w:p w14:paraId="102ED1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（三）一般公共预算拨款支出明细情况。</w:t>
            </w:r>
          </w:p>
          <w:p w14:paraId="234F72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1、一般公共预算当年拨款规模变化情况。</w:t>
            </w:r>
          </w:p>
          <w:p w14:paraId="159518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2019年本部门一般公共预算拨款支出56万元，较上年减少11万元，主要原因是退休1人，人员经费减少。</w:t>
            </w:r>
          </w:p>
          <w:p w14:paraId="0ED09F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2、支出按功能科目分类的明细情况。</w:t>
            </w:r>
          </w:p>
          <w:p w14:paraId="768E37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本部门2019年一般公共预算支出56万元，其中：</w:t>
            </w:r>
          </w:p>
          <w:p w14:paraId="56D765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（1）行政运行（2013601）33万元，较上年减少17.3万元，原因是退休1人、科目变化；</w:t>
            </w:r>
          </w:p>
          <w:p w14:paraId="0ACE54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（2）一般行政管理事务（2013602）21万元，较上年增加7万元，原因是科目变化；</w:t>
            </w:r>
          </w:p>
          <w:p w14:paraId="3A9B37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（3）住房公积金（2210201）2万元，较上年减少0.7万元，原因是人员减少。</w:t>
            </w:r>
          </w:p>
          <w:p w14:paraId="50A53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3、支出按经济科目分类的明细情况</w:t>
            </w:r>
          </w:p>
          <w:p w14:paraId="5E98B2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（1）按照部门预算支出经济分类的类级科目说明。</w:t>
            </w:r>
          </w:p>
          <w:p w14:paraId="32C13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2019年本部门一般公共预算支出56万元，其中：</w:t>
            </w:r>
          </w:p>
          <w:p w14:paraId="68D50D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工资福利支出（301）25.9万元，较上年减少10万元，原因是人员减少；</w:t>
            </w:r>
          </w:p>
          <w:p w14:paraId="2FED6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商品和服务支出（302）9.7万元，较上年减少1万元，原因是人员减少；</w:t>
            </w:r>
          </w:p>
          <w:p w14:paraId="04AE13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对个人和家庭的补助支出（303）6.4万元，与上年持平。</w:t>
            </w:r>
          </w:p>
          <w:p w14:paraId="30DEB2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专项业务经费（399）14万元，与上年持平。</w:t>
            </w:r>
          </w:p>
          <w:p w14:paraId="742C9E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（2）按照政府预算支出经济分类的类级科目说明。</w:t>
            </w:r>
          </w:p>
          <w:p w14:paraId="00E459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2019年本部门一般公共预算支出56万元，其中：</w:t>
            </w:r>
          </w:p>
          <w:p w14:paraId="117830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机关工资福利支出（501）25.9万元，较上年减少10万元，原因是人员减少；</w:t>
            </w:r>
          </w:p>
          <w:p w14:paraId="429709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机关商品和服务支出（502）9.7万元，较上年减少1万元，原因是人员减少；</w:t>
            </w:r>
          </w:p>
          <w:p w14:paraId="49FE2A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对个人和家庭的补助（509）6.4万元，与上年持平。</w:t>
            </w:r>
          </w:p>
          <w:p w14:paraId="26B180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其他支出（599）14万元，与上年持平。</w:t>
            </w:r>
          </w:p>
          <w:p w14:paraId="3E8769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（四）政府性基金预算支出情况</w:t>
            </w:r>
          </w:p>
          <w:p w14:paraId="6F3365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本部门无政府性基金预算收支，并已公开空表。</w:t>
            </w:r>
          </w:p>
          <w:p w14:paraId="34C911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（五）国有资本经营预算拨款收支情况</w:t>
            </w:r>
          </w:p>
          <w:p w14:paraId="0EB07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本部门无国有资本经营预算拨款收支”。</w:t>
            </w:r>
          </w:p>
          <w:p w14:paraId="5F7AC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（六）“三公”经费等预算情况。</w:t>
            </w:r>
          </w:p>
          <w:p w14:paraId="30621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“三公”经费预算支出7.2万元，较上年减少0.4万元（5.3%），减少的主要原因是压缩经费支出。其中：因公出国（境）经费0万元，与上年持平；公务接待费0.2万元，较上年减少0.4万元（66.7%），减少的主要原因是人员减少，经费压缩；公务用车运行维护费0万元，与上年持平；公务用车购置费0万元，与上年持平。</w:t>
            </w:r>
          </w:p>
          <w:p w14:paraId="34929E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2019年度预算会议费7万元，与上年持平。</w:t>
            </w:r>
          </w:p>
          <w:p w14:paraId="197408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2019年度未预算培训费。</w:t>
            </w:r>
          </w:p>
          <w:p w14:paraId="795DC7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（七）机关运行经费安排情况</w:t>
            </w:r>
          </w:p>
          <w:p w14:paraId="6EB4F3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本部门2019年机关运行经费预算安排9.7万元，较上年减少1万元，原因是在职人员减少。</w:t>
            </w:r>
          </w:p>
          <w:p w14:paraId="072622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（八）政府采购情况</w:t>
            </w:r>
          </w:p>
          <w:p w14:paraId="3803CC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本部门2019年无政府采购预算，并已公开空表。</w:t>
            </w:r>
          </w:p>
          <w:p w14:paraId="3C02F9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八、专业名词解释</w:t>
            </w:r>
          </w:p>
          <w:p w14:paraId="44E8E2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机关运行经费：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      </w:r>
          </w:p>
          <w:p w14:paraId="50845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2、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“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三公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”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经费：是指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公务接待支出。</w:t>
            </w:r>
          </w:p>
        </w:tc>
      </w:tr>
    </w:tbl>
    <w:p w14:paraId="2D12A6F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B6EAC"/>
    <w:rsid w:val="239B6EAC"/>
    <w:rsid w:val="5A0B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2255</Words>
  <Characters>2422</Characters>
  <Lines>0</Lines>
  <Paragraphs>0</Paragraphs>
  <TotalTime>0</TotalTime>
  <ScaleCrop>false</ScaleCrop>
  <LinksUpToDate>false</LinksUpToDate>
  <CharactersWithSpaces>2422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2020-03-13T09:40:00Z</dcterms:created>
  <dc:creator>随遇而安</dc:creator>
  <cp:lastModifiedBy>Renekton</cp:lastModifiedBy>
  <dcterms:modified xsi:type="dcterms:W3CDTF">2026-04-22T07:24:14Z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eyJoZGlkIjoiOGIzOTA3Nzg5ZTlmMWQxMmRkZTg5MjMxMGNhNTRjYjQiLCJ1c2VySWQiOiIzMTUxNjc3MzMifQ==</vt:lpwstr>
  </property>
  <property fmtid="{D5CDD505-2E9C-101B-9397-08002B2CF9AE}" pid="4" name="ICV">
    <vt:lpwstr>CA90E0112C7741A2AAB88026ECA3FEDD_12</vt:lpwstr>
  </property>
</Properties>
</file>