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236D30F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24DC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900" w:lineRule="atLeast"/>
              <w:ind w:left="0" w:right="0"/>
              <w:jc w:val="center"/>
              <w:rPr>
                <w:rFonts w:ascii="微软雅黑" w:hAnsi="微软雅黑" w:eastAsia="微软雅黑" w:cs="微软雅黑"/>
                <w:b/>
                <w:color w:val="3D3D36"/>
                <w:sz w:val="48"/>
                <w:szCs w:val="48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D3D36"/>
                <w:spacing w:val="0"/>
                <w:sz w:val="48"/>
                <w:szCs w:val="48"/>
              </w:rPr>
              <w:t>千阳县商务和工业信息化局2019年部门综合预算说明</w:t>
            </w:r>
          </w:p>
        </w:tc>
      </w:tr>
    </w:tbl>
    <w:p w14:paraId="4E7974EE">
      <w:pPr>
        <w:rPr>
          <w:vanish/>
          <w:sz w:val="24"/>
          <w:szCs w:val="24"/>
        </w:rPr>
      </w:pPr>
    </w:p>
    <w:tbl>
      <w:tblPr>
        <w:tblStyle w:val="4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1849AACC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3133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6C61354F">
      <w:pPr>
        <w:rPr>
          <w:vanish/>
          <w:sz w:val="24"/>
          <w:szCs w:val="24"/>
        </w:rPr>
      </w:pPr>
    </w:p>
    <w:tbl>
      <w:tblPr>
        <w:tblStyle w:val="4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3E39E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38EE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1C2DA65F">
      <w:pPr>
        <w:rPr>
          <w:vanish/>
          <w:sz w:val="24"/>
          <w:szCs w:val="24"/>
        </w:rPr>
      </w:pPr>
    </w:p>
    <w:tbl>
      <w:tblPr>
        <w:tblStyle w:val="4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64573C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53FFB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0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sz w:val="32"/>
                <w:szCs w:val="32"/>
              </w:rPr>
              <w:t>　　　一、部门主要职责及机构设置</w:t>
            </w:r>
          </w:p>
          <w:p w14:paraId="5BB6AB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0"/>
              <w:jc w:val="left"/>
            </w:pPr>
            <w:r>
              <w:rPr>
                <w:rFonts w:ascii="仿宋_GB2312" w:hAnsi="宋体" w:eastAsia="仿宋_GB2312" w:cs="仿宋_GB2312"/>
                <w:i w:val="0"/>
                <w:caps w:val="0"/>
                <w:color w:val="2B2B2B"/>
                <w:spacing w:val="0"/>
                <w:sz w:val="32"/>
                <w:szCs w:val="32"/>
              </w:rPr>
              <w:t>　　（一）贯彻执行省、市关于商务和工业信息化、科技、国内外贸易、国际经济合作方面的法律法规和方针政策；拟订并组织实施全县商务和工业信息化、内外贸易、工业园区、中小企业和非公有制企业发展、科技发展规划和产业政策，外商投资、对外经济合作和产业政策；指导全县商贸、工业行业质量管理工作，培育和完善市场体系建设和特殊流通行业监管，研究、协调和解决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sz w:val="32"/>
                <w:szCs w:val="32"/>
                <w:lang w:val="en-US" w:eastAsia="zh-CN"/>
              </w:rPr>
              <w:t>商贸</w:t>
            </w:r>
            <w:r>
              <w:rPr>
                <w:rFonts w:ascii="仿宋_GB2312" w:hAnsi="宋体" w:eastAsia="仿宋_GB2312" w:cs="仿宋_GB2312"/>
                <w:i w:val="0"/>
                <w:caps w:val="0"/>
                <w:color w:val="2B2B2B"/>
                <w:spacing w:val="0"/>
                <w:sz w:val="32"/>
                <w:szCs w:val="32"/>
              </w:rPr>
              <w:t>和工业信息化发展中的重大问题。</w:t>
            </w:r>
          </w:p>
          <w:p w14:paraId="5BC0D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提出全县城乡市场体系、新型工业化发展战略和政策，协调解决进程中的重大问题，拟定并组织实施全县商务、科技、信息化的发展规划，推进全县工业产业、流通产业结构调整战略和优化升级，推进商贸和工业信息化、科技化融合;拟定全县科技发展的重大布局，优先发展领域,研究拟定地方性科学技术管理办法、行政规章。组织编制、实施全县科学技术发展中长期规划和年度计划，配合做好企业体制改革实施工作。</w:t>
            </w:r>
          </w:p>
          <w:p w14:paraId="78C87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提出全县新型工业化发展战略和政策，协调解决新型工业化进程中的重大问题，拟定并组织实施全县工业发展规划、信息化和工业深度融合发展规划，推进工业产业结构战略性调整和优化升级，推进信息化深度融合。</w:t>
            </w:r>
          </w:p>
          <w:p w14:paraId="2AEE4D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（四）监测分析全县商贸市场、工业经济运行态势，统计并发布相关信息，进行预测预警和信息引导，协调解决行业运行发展中的有关问题并提出政策建议，负责商贸工业应急管理、产业安全有关工作。</w:t>
            </w:r>
          </w:p>
          <w:p w14:paraId="464012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（五）负责提出全县商务和工业信息化固定资产投资规模和方向、县级财政性建设资金安排的意见；负责全县技术改造项目的投资管理。</w:t>
            </w:r>
          </w:p>
          <w:p w14:paraId="1C9EE6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贯彻国家高技术产业中涉及生物医药、新材料等的规划、政策和标准并组织实施；指导行业技术创新和技术进步，以先进适用技术改造提升传统产业，组织实施有关国家、省、市、县政府科技重大项目，推进相关科研成果产业化，推动全县软件业、信息服务业和新兴产业发展。</w:t>
            </w:r>
          </w:p>
          <w:p w14:paraId="46EC32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（七）贯彻执行国家重大技术装备发展和自主创新的规划、政策，依托国家重点工程建设协调有关重大专项的实施，推进重大技术装备国产化，指导引进重大技术装备的消化创新。</w:t>
            </w:r>
          </w:p>
          <w:p w14:paraId="35275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拟订并组织实施全县商务和工业信息产业能源节约和资源综合利用、清洁生产促进政策，参与拟订能源节约和资源综合利用、清洁生产促进规划，组织协调相关重大示范工程和新产品、新技术、新设备、新材料的推广应用。</w:t>
            </w:r>
          </w:p>
          <w:p w14:paraId="7A854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九）贯彻执行国家有关软件、系统集成及服务的技术规范和标准，指导全县软件业发展；组织推进全县信息技术服务工具、平台研发和产业化；承担电子信息产品制造的科技推广和行业管理工作；协助上级部门对在千的公用通信网、专用通信网运行及电信与信息服务市场进行协调与服务，协调县内电信资源分配，推进电信普遍服务。</w:t>
            </w:r>
          </w:p>
          <w:p w14:paraId="08BB4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）负责推进流通体制改革和流通产业结构调整；指导流通业、商贸服务业和社区商业发展，提出促进商贸中小企业发展的意见建议；推动流通标准化和连锁经营、商业特许经营、物流配送等现代流通方式的发展，推动全县电子商务应用发展，负责流通企业节能减排和再生资源回收工作。</w:t>
            </w:r>
          </w:p>
          <w:p w14:paraId="70487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一）拟定全县内贸发展规划，培育和完善城乡市场体系，研究提出引导县内外资金投向市场体系建设的措施。指导大宗批发市场、城市商业网点和流通体系建设，推进农村市场体系建设，组织实施农村现代流通网络工程；推动商务领域信用建设，指导商业信用销售，建立市场诚信公共服务平台；按有关规定负责特殊流通行业的监督管理。</w:t>
            </w:r>
          </w:p>
          <w:p w14:paraId="233585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　(十二)承担组织实施重要消费品市场调控和重要生产资料流通管理；按分工负责建立健全生活必需品市场供应调控工作机制，监测分析市场运行、商品供求状况，调查分析商品价格信息，进行预测预警和信息引导；按有关规定对成品油流通市场进行监督管理。</w:t>
            </w:r>
          </w:p>
          <w:p w14:paraId="76EBB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60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三）执行国家有关国内外贸易和国际经济合作的发展战略和政策；制定国家进出口商品、加工贸易管理政策，拟订全县内外贸易、外商投资、对外经济合作发展规划，组织落实国家促进外贸增长方式转变的政策措施，会同有关部门组织实施重要工业品、原材料、重要农产品、大宗商品进出口工作，指导开展贸易促进活动和外贸促进体系建设。</w:t>
            </w:r>
          </w:p>
          <w:p w14:paraId="491575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二、2019年年度部门工作任务</w:t>
            </w:r>
          </w:p>
          <w:p w14:paraId="0F173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0"/>
              <w:jc w:val="left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　　（一）主要经济指标：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规模以上工业增加值增速13%，</w:t>
            </w: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2B2B2B"/>
                <w:spacing w:val="0"/>
                <w:sz w:val="32"/>
                <w:szCs w:val="32"/>
                <w:shd w:val="clear" w:fill="FFFFFF"/>
              </w:rPr>
              <w:t>社会消费品零售总额增速12%；培育新增规模以上工业企业4户，新增限额以上商贸流通企业5户；招商引资1.5亿元；争资金800万元，固定资产投资1.8亿元。</w:t>
            </w:r>
          </w:p>
          <w:p w14:paraId="30C0AC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（二）重点建设项目: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项目建设是持续推进县域经济发展的引擎和动力，也是完成固定资产投资主要途径。2019年计划投资建设重点项目5个，分别是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投资800万元建设中千阳县清洁煤配送中心一座，2019年3月份建成投用；投资1800万元改造提升千阳商场营业楼项目，2019年6月份建成投入使用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；</w:t>
            </w:r>
            <w:r>
              <w:rPr>
                <w:rFonts w:hint="eastAsia" w:ascii="仿宋_GB2312" w:hAnsi="宋体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投资500万元装修建成医药大厦中医馆项目，2019年5月份建成投用；计划投资500万元建成县级物流配送仓储中心一座，2019年6月份建成投用；投资1200万元在西新区建成美食一条街，计划在2019年6月份建成。</w:t>
            </w:r>
          </w:p>
          <w:p w14:paraId="48944D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三、部门预算单位构成</w:t>
            </w:r>
          </w:p>
          <w:p w14:paraId="34D98F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从预算单位构成看，本部门的部门预算包括部门本级（机关）预算和下属全额事业。</w:t>
            </w:r>
          </w:p>
          <w:p w14:paraId="1092D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本部门2019年部门预算编制范围为千阳县商务和工业信息化局1个单位，经费为财政全额拨款。</w:t>
            </w:r>
          </w:p>
          <w:tbl>
            <w:tblPr>
              <w:tblStyle w:val="4"/>
              <w:tblW w:w="0" w:type="auto"/>
              <w:tblInd w:w="-2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68"/>
              <w:gridCol w:w="7394"/>
            </w:tblGrid>
            <w:tr w14:paraId="642138DF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368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18EE4398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394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3C3643C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单位名称</w:t>
                  </w:r>
                </w:p>
              </w:tc>
            </w:tr>
            <w:tr w14:paraId="379BF612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7F2DB85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782E0B9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县商务和工业信息化局</w:t>
                  </w: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本级</w:t>
                  </w: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部门（机关）</w:t>
                  </w:r>
                </w:p>
              </w:tc>
            </w:tr>
            <w:tr w14:paraId="7C8D9FA9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05B778DA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top"/>
                </w:tcPr>
                <w:p w14:paraId="6F268DC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lang w:val="en-US" w:eastAsia="zh-CN" w:bidi="ar"/>
                    </w:rPr>
                    <w:t>县电子商务发展服务中心（全额事业）</w:t>
                  </w:r>
                </w:p>
              </w:tc>
            </w:tr>
          </w:tbl>
          <w:p w14:paraId="3B1DB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四、部门人员情况说明</w:t>
            </w:r>
          </w:p>
          <w:p w14:paraId="44D80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截止2018年底，本部门人员编制15人，其中行政编制8人、事业编制7人；实有人员17人，其中行政8人、事业9人。单位管理的离退休人员1人。</w:t>
            </w:r>
          </w:p>
          <w:p w14:paraId="4A28C3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五、部门国有资产占有使用及资产购置情况说明</w:t>
            </w:r>
          </w:p>
          <w:p w14:paraId="20981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截至2018年底，本部门所属预算单位共有车辆0辆，单台价值20万元以上的设备0台（套）。2019年部门预算安排购置车辆0辆；安排购置单价20万元以上的设备0台（套）,固定资产原值87.4万元。</w:t>
            </w:r>
          </w:p>
          <w:p w14:paraId="31A9FB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六、部门预算绩效目标说明</w:t>
            </w:r>
          </w:p>
          <w:p w14:paraId="7A61E0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2019年本部门实现了绩效目标管理全覆盖，涉及一般公共预算当年拨款244.9万元。</w:t>
            </w:r>
          </w:p>
          <w:p w14:paraId="72888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七、2019年部门预算收支说明</w:t>
            </w:r>
          </w:p>
          <w:p w14:paraId="052616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（一）收支预算总体情况。</w:t>
            </w:r>
          </w:p>
          <w:p w14:paraId="57738F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预算收入244.9万元，其中一般公共预算拨款收入244.9万元，2019年本部门预算收入较上年减少3.1万元，主要原因是人员退休；2019年本部门预算支出244.9万元，其中一般公共预算拨款支出244.9万元，2019年本部门预算支出较上年减少3.1万元，主要原因是人员退休。</w:t>
            </w:r>
          </w:p>
          <w:p w14:paraId="0EBA3D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（二）财政拨款收支情况</w:t>
            </w:r>
          </w:p>
          <w:p w14:paraId="14F2F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财政拨款收入244.9万元，其中一般公共预算拨款收入244.9万元，2019年本部门财政拨款收入较上年减少3.1万元，主要原因是人员退休；2019年本部门财政拨款支出244.9万元，其中一般公共预算拨款支出244.9万元，2019年本部门财政拨款支出较上年减少3.1万元，主要原因是人员退休。</w:t>
            </w:r>
          </w:p>
          <w:p w14:paraId="0C9BC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（三）一般公共预算拨款支出明细情况。</w:t>
            </w:r>
          </w:p>
          <w:p w14:paraId="1EAD67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1、一般公共预算当年拨款规模变化情况。</w:t>
            </w:r>
          </w:p>
          <w:p w14:paraId="31A02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2019年本部门一般公共预算拨款支出244.9万元，较上年减少3.1万元，主要原因是人员退休。</w:t>
            </w:r>
          </w:p>
          <w:p w14:paraId="55AE51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2、支出按功能科目分类的明细情况。</w:t>
            </w:r>
          </w:p>
          <w:p w14:paraId="7DC47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本部门2019年一般公共预算支出244.9万元，其中：</w:t>
            </w:r>
          </w:p>
          <w:p w14:paraId="4F465B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（1）行政运行（2150501）200.5万元，较上年减少5.8万元，原因是人员退休；</w:t>
            </w:r>
          </w:p>
          <w:p w14:paraId="5C029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（2）社会保障就业支出（2080504）9.5万元，较上年增加0.4万元，原因是离休费增加；</w:t>
            </w:r>
          </w:p>
          <w:p w14:paraId="00E3D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（3）住房保障支出（2210201）14.9万元，较上年增加0.1万元，原因是工资标准调整；</w:t>
            </w:r>
          </w:p>
          <w:p w14:paraId="2CDFAD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（4）一般行政管理事务（2150502）20万元，较上年增加2.2万元，原因是项目支出增加。</w:t>
            </w:r>
          </w:p>
          <w:p w14:paraId="0D94A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3、支出按经济科目分类的明细情况</w:t>
            </w:r>
          </w:p>
          <w:p w14:paraId="6C549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（1）2019年本部门一般公共预算支出244.9万元，其中：</w:t>
            </w:r>
          </w:p>
          <w:p w14:paraId="09DE58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工资福利支出（301）191.1万元，减少1.6万元，原因是人员退休；</w:t>
            </w:r>
          </w:p>
          <w:p w14:paraId="1EE2E2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商品和服务支出（302）17.2万元，较上年减少6.2万元，原因是一般经费预算压缩；</w:t>
            </w:r>
          </w:p>
          <w:p w14:paraId="1E8064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对个人和家庭的补助支出（303）16.6万元，较上年增加4.7万元，原因是社保标准提高。</w:t>
            </w:r>
          </w:p>
          <w:p w14:paraId="2572AD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（2）2019年本部门一般公共预算支出244.9万元，其中：</w:t>
            </w:r>
          </w:p>
          <w:p w14:paraId="5E58E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机关工资福利支出（501）191.1万元，较上年减少1.6万元，原因是人员退休；</w:t>
            </w:r>
          </w:p>
          <w:p w14:paraId="11C0BE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机关商品和服务支出（502）17.2万元，较上年减少6.2万元，原因是压缩机关运行经费；</w:t>
            </w:r>
          </w:p>
          <w:p w14:paraId="6166A7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（四）政府性基金预算支出情况</w:t>
            </w:r>
          </w:p>
          <w:p w14:paraId="5EDA7B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本部门无政府性基金预算收支，并已公开空表。</w:t>
            </w:r>
          </w:p>
          <w:p w14:paraId="4A3E7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（五）国有资本经营预算拨款收支情况</w:t>
            </w:r>
          </w:p>
          <w:p w14:paraId="1CCBF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本部门无国有资本经营预算拨款收支。</w:t>
            </w:r>
          </w:p>
          <w:p w14:paraId="47B956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（六）“三公”经费等预算情况。</w:t>
            </w:r>
          </w:p>
          <w:p w14:paraId="790F4C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“三公”经费预算支出3.8万元，较上年减少4.8万元（56%），减少的主要原因是压缩会议开支和公务接待费预算。其中：公务接待费0.8万元，较上年减少2.8万元（78%），减少的主要原因是压缩公务接待费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；会议费3万元，较上年减少2万元，主要原因为压缩会议经费开支，本年培训费无预算。</w:t>
            </w:r>
          </w:p>
          <w:p w14:paraId="2A071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（七）机关运行经费安排情况</w:t>
            </w:r>
          </w:p>
          <w:p w14:paraId="51511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本部门2019年机关运行经费预算安排17.2万元，较上年减少6.2万元，主要原因是压缩机关运行经费支出。</w:t>
            </w:r>
          </w:p>
          <w:p w14:paraId="5CBAE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（八）政府采购情况</w:t>
            </w:r>
          </w:p>
          <w:p w14:paraId="43A7D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本部门2019年无政府采购预算，并已公开空表。</w:t>
            </w:r>
          </w:p>
          <w:p w14:paraId="28ADB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八、专业名词解释</w:t>
            </w:r>
          </w:p>
          <w:p w14:paraId="057BA0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宋体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机关运行经费：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      </w:r>
          </w:p>
        </w:tc>
      </w:tr>
    </w:tbl>
    <w:p w14:paraId="56461F7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56FB0"/>
    <w:rsid w:val="24B4315C"/>
    <w:rsid w:val="76C5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5035</Words>
  <Characters>5307</Characters>
  <Lines>0</Lines>
  <Paragraphs>0</Paragraphs>
  <TotalTime>9</TotalTime>
  <ScaleCrop>false</ScaleCrop>
  <LinksUpToDate>false</LinksUpToDate>
  <CharactersWithSpaces>5319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2020-03-13T09:08:00Z</dcterms:created>
  <dc:creator>随遇而安</dc:creator>
  <cp:lastModifiedBy>闫智科</cp:lastModifiedBy>
  <dcterms:modified xsi:type="dcterms:W3CDTF">2026-07-29T03:31:15Z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eyJoZGlkIjoiNmJjNDgxYTVmMGZlOTI1ZjdmNzJjMmJkNmI5NmJhMDAiLCJ1c2VySWQiOiI2ODUzMDgzNjkifQ==</vt:lpwstr>
  </property>
  <property fmtid="{D5CDD505-2E9C-101B-9397-08002B2CF9AE}" pid="4" name="ICV">
    <vt:lpwstr>146E565F64C0417B9E2C61D2D57EC5A2_12</vt:lpwstr>
  </property>
</Properties>
</file>