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663" w:type="dxa"/>
        <w:tblInd w:w="93" w:type="dxa"/>
        <w:tblLayout w:type="fixed"/>
        <w:tblCellMar>
          <w:top w:w="0" w:type="dxa"/>
          <w:left w:w="108" w:type="dxa"/>
          <w:bottom w:w="0" w:type="dxa"/>
          <w:right w:w="108" w:type="dxa"/>
        </w:tblCellMar>
      </w:tblPr>
      <w:tblGrid>
        <w:gridCol w:w="640"/>
        <w:gridCol w:w="1200"/>
        <w:gridCol w:w="6139"/>
        <w:gridCol w:w="684"/>
      </w:tblGrid>
      <w:tr>
        <w:tblPrEx>
          <w:tblCellMar>
            <w:top w:w="0" w:type="dxa"/>
            <w:left w:w="108" w:type="dxa"/>
            <w:bottom w:w="0" w:type="dxa"/>
            <w:right w:w="108" w:type="dxa"/>
          </w:tblCellMar>
        </w:tblPrEx>
        <w:trPr>
          <w:trHeight w:val="465" w:hRule="atLeast"/>
        </w:trPr>
        <w:tc>
          <w:tcPr>
            <w:tcW w:w="1840" w:type="dxa"/>
            <w:gridSpan w:val="2"/>
            <w:tcBorders>
              <w:top w:val="nil"/>
              <w:left w:val="nil"/>
              <w:bottom w:val="nil"/>
              <w:right w:val="nil"/>
            </w:tcBorders>
            <w:shd w:val="clear" w:color="auto" w:fill="auto"/>
            <w:noWrap/>
            <w:vAlign w:val="center"/>
          </w:tcPr>
          <w:p>
            <w:pPr>
              <w:pStyle w:val="4"/>
              <w:bidi w:val="0"/>
              <w:ind w:left="0" w:leftChars="0" w:firstLine="0" w:firstLineChars="0"/>
              <w:rPr>
                <w:rFonts w:ascii="仿宋_GB2312" w:hAnsi="仿宋_GB2312" w:eastAsia="宋体" w:cs="仿宋_GB2312"/>
                <w:color w:val="000000"/>
                <w:szCs w:val="22"/>
              </w:rPr>
            </w:pPr>
            <w:r>
              <w:rPr>
                <w:rFonts w:hint="eastAsia"/>
              </w:rPr>
              <w:t>附件2</w:t>
            </w:r>
          </w:p>
        </w:tc>
        <w:tc>
          <w:tcPr>
            <w:tcW w:w="6139" w:type="dxa"/>
            <w:tcBorders>
              <w:top w:val="nil"/>
              <w:left w:val="nil"/>
              <w:bottom w:val="nil"/>
              <w:right w:val="nil"/>
            </w:tcBorders>
            <w:shd w:val="clear" w:color="auto" w:fill="auto"/>
            <w:noWrap/>
            <w:vAlign w:val="center"/>
          </w:tcPr>
          <w:p>
            <w:pPr>
              <w:rPr>
                <w:rFonts w:ascii="仿宋_GB2312" w:hAnsi="仿宋_GB2312" w:eastAsia="宋体" w:cs="仿宋_GB2312"/>
                <w:color w:val="000000"/>
                <w:sz w:val="22"/>
                <w:szCs w:val="22"/>
              </w:rPr>
            </w:pPr>
          </w:p>
        </w:tc>
        <w:tc>
          <w:tcPr>
            <w:tcW w:w="684" w:type="dxa"/>
            <w:tcBorders>
              <w:top w:val="nil"/>
              <w:left w:val="nil"/>
              <w:bottom w:val="nil"/>
              <w:right w:val="nil"/>
            </w:tcBorders>
            <w:shd w:val="clear" w:color="auto" w:fill="auto"/>
            <w:noWrap/>
            <w:vAlign w:val="center"/>
          </w:tcPr>
          <w:p>
            <w:pPr>
              <w:rPr>
                <w:rFonts w:ascii="仿宋_GB2312" w:hAnsi="仿宋_GB2312" w:eastAsia="宋体" w:cs="仿宋_GB2312"/>
                <w:color w:val="000000"/>
                <w:sz w:val="22"/>
                <w:szCs w:val="22"/>
              </w:rPr>
            </w:pPr>
          </w:p>
        </w:tc>
      </w:tr>
      <w:tr>
        <w:tblPrEx>
          <w:tblCellMar>
            <w:top w:w="0" w:type="dxa"/>
            <w:left w:w="108" w:type="dxa"/>
            <w:bottom w:w="0" w:type="dxa"/>
            <w:right w:w="108" w:type="dxa"/>
          </w:tblCellMar>
        </w:tblPrEx>
        <w:trPr>
          <w:trHeight w:val="750" w:hRule="atLeast"/>
        </w:trPr>
        <w:tc>
          <w:tcPr>
            <w:tcW w:w="8663" w:type="dxa"/>
            <w:gridSpan w:val="4"/>
            <w:tcBorders>
              <w:top w:val="nil"/>
              <w:left w:val="nil"/>
              <w:bottom w:val="single" w:color="auto" w:sz="4" w:space="0"/>
              <w:right w:val="nil"/>
            </w:tcBorders>
            <w:shd w:val="clear" w:color="auto" w:fill="auto"/>
            <w:noWrap/>
            <w:vAlign w:val="center"/>
          </w:tcPr>
          <w:p>
            <w:pPr>
              <w:widowControl/>
              <w:jc w:val="center"/>
              <w:textAlignment w:val="center"/>
              <w:rPr>
                <w:rFonts w:ascii="仿宋_GB2312" w:hAnsi="仿宋_GB2312" w:eastAsia="仿宋_GB2312" w:cs="仿宋_GB2312"/>
                <w:b/>
                <w:bCs/>
                <w:color w:val="000000"/>
                <w:sz w:val="29"/>
                <w:szCs w:val="29"/>
              </w:rPr>
            </w:pPr>
            <w:r>
              <w:rPr>
                <w:rFonts w:hint="eastAsia" w:ascii="仿宋_GB2312" w:hAnsi="仿宋_GB2312" w:eastAsia="黑体" w:cs="仿宋_GB2312"/>
                <w:b w:val="0"/>
                <w:bCs w:val="0"/>
                <w:color w:val="000000"/>
                <w:kern w:val="0"/>
                <w:sz w:val="32"/>
                <w:szCs w:val="32"/>
              </w:rPr>
              <w:t>投资审计内容清单</w:t>
            </w:r>
          </w:p>
        </w:tc>
      </w:tr>
      <w:tr>
        <w:tblPrEx>
          <w:tblCellMar>
            <w:top w:w="0" w:type="dxa"/>
            <w:left w:w="108" w:type="dxa"/>
            <w:bottom w:w="0" w:type="dxa"/>
            <w:right w:w="108" w:type="dxa"/>
          </w:tblCellMar>
        </w:tblPrEx>
        <w:trPr>
          <w:trHeight w:val="79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序号</w:t>
            </w:r>
          </w:p>
        </w:tc>
        <w:tc>
          <w:tcPr>
            <w:tcW w:w="12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审计事项</w:t>
            </w:r>
          </w:p>
        </w:tc>
        <w:tc>
          <w:tcPr>
            <w:tcW w:w="6139" w:type="dxa"/>
            <w:tcBorders>
              <w:top w:val="nil"/>
              <w:left w:val="nil"/>
              <w:bottom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内容</w:t>
            </w:r>
          </w:p>
        </w:tc>
        <w:tc>
          <w:tcPr>
            <w:tcW w:w="6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备注</w:t>
            </w:r>
          </w:p>
        </w:tc>
      </w:tr>
      <w:tr>
        <w:tblPrEx>
          <w:tblCellMar>
            <w:top w:w="0" w:type="dxa"/>
            <w:left w:w="108" w:type="dxa"/>
            <w:bottom w:w="0" w:type="dxa"/>
            <w:right w:w="108" w:type="dxa"/>
          </w:tblCellMar>
        </w:tblPrEx>
        <w:trPr>
          <w:trHeight w:val="513"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1200" w:type="dxa"/>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投资决策</w:t>
            </w:r>
          </w:p>
        </w:tc>
        <w:tc>
          <w:tcPr>
            <w:tcW w:w="6139"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1.对建设项目的研究、决策程序的合法性、合规性进行审计。</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73"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2.对建设项目的建设内容的合法性、合规性进行审计。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911"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1200" w:type="dxa"/>
            <w:vMerge w:val="restart"/>
            <w:tcBorders>
              <w:top w:val="nil"/>
              <w:left w:val="single" w:color="auto" w:sz="4" w:space="0"/>
              <w:bottom w:val="single" w:color="000000"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履行建设程序</w:t>
            </w:r>
          </w:p>
        </w:tc>
        <w:tc>
          <w:tcPr>
            <w:tcW w:w="6139"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3.对建设项目的立项、可行性研究、初步设计和设计审查、施工许可等审批、核准、备案程序的真实性、合法性、合规性进行审计。</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688"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4.对建设项目的用地、规划和环境影响评价等审批、核准、备案程序的合法性、合规性进行审计。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45"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1200" w:type="dxa"/>
            <w:vMerge w:val="restart"/>
            <w:tcBorders>
              <w:top w:val="nil"/>
              <w:left w:val="single" w:color="auto" w:sz="4" w:space="0"/>
              <w:bottom w:val="single" w:color="000000"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概（预）算执行</w:t>
            </w:r>
          </w:p>
        </w:tc>
        <w:tc>
          <w:tcPr>
            <w:tcW w:w="6139"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5.对建设项目概算执行情况及概算调整的真实性、合规性进行审计。</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522"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6.对建设项目设计内容变更和变更程序的合法性、合规性进行审计。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13"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7.对建设项目实施进度情况进行审计。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45"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1200" w:type="dxa"/>
            <w:vMerge w:val="restart"/>
            <w:tcBorders>
              <w:top w:val="nil"/>
              <w:left w:val="single" w:color="auto" w:sz="4" w:space="0"/>
              <w:bottom w:val="single" w:color="000000"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项目征地拆迁补偿</w:t>
            </w:r>
          </w:p>
        </w:tc>
        <w:tc>
          <w:tcPr>
            <w:tcW w:w="6139"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8.对国家土地政策、拆迁补偿政策执行情况，土地征收程序，拆迁合同的合法性、合规性进行审计。</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432"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9.对征收补偿方案、补偿标准的合规性进行审计。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09"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10.对被征收内容、评估报告、特殊补贴、奖励和“一事一议”的真实性、合规性进行审计。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77"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11.对征地拆迁资金到账的真实性和征迁补偿资金管理、使用的合规性进行审计。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1200" w:type="dxa"/>
            <w:vMerge w:val="restart"/>
            <w:tcBorders>
              <w:top w:val="nil"/>
              <w:left w:val="single" w:color="auto" w:sz="4" w:space="0"/>
              <w:bottom w:val="single" w:color="auto"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招标投标</w:t>
            </w:r>
          </w:p>
        </w:tc>
        <w:tc>
          <w:tcPr>
            <w:tcW w:w="6139"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12.对建设项目的勘察、设计、施工、监理、材料设备及咨询服务等招标方式的合法性、合规性进行审计。</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63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13.对建设项目招标文件、公告发布的合法性、合规性进行审计。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14.对勘察、设计、施工、监理、造价咨询、质量检测等建设相关单位及人员从业资质情况进行审计。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841"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15.对建设项目的招投标程序、评标工作和招标投标管理工作的真实性、合法性、合规性进行审计。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063"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合同签订与履行</w:t>
            </w:r>
          </w:p>
        </w:tc>
        <w:tc>
          <w:tcPr>
            <w:tcW w:w="6139" w:type="dxa"/>
            <w:tcBorders>
              <w:top w:val="single" w:color="auto" w:sz="4" w:space="0"/>
              <w:left w:val="nil"/>
              <w:bottom w:val="single" w:color="auto" w:sz="4" w:space="0"/>
              <w:right w:val="single" w:color="auto" w:sz="4" w:space="0"/>
            </w:tcBorders>
            <w:shd w:val="clear" w:color="auto" w:fill="auto"/>
            <w:vAlign w:val="center"/>
          </w:tcPr>
          <w:p>
            <w:pPr>
              <w:widowControl/>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16.对建设项目经济合同与招标文件、投标承诺和评标结果的一致性进行审计。</w:t>
            </w:r>
          </w:p>
        </w:tc>
        <w:tc>
          <w:tcPr>
            <w:tcW w:w="684"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46"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17.对建设项目经济合同内容和签订程序的合法性、合规性进行审计。</w:t>
            </w:r>
          </w:p>
        </w:tc>
        <w:tc>
          <w:tcPr>
            <w:tcW w:w="684" w:type="dxa"/>
            <w:vMerge w:val="continue"/>
            <w:tcBorders>
              <w:top w:val="nil"/>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18.对建设项目经济合同履行过程中的补充协议、签证和纪要与中标合同实质性内容的一致性进行审计。</w:t>
            </w:r>
          </w:p>
        </w:tc>
        <w:tc>
          <w:tcPr>
            <w:tcW w:w="684" w:type="dxa"/>
            <w:vMerge w:val="continue"/>
            <w:tcBorders>
              <w:top w:val="nil"/>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nil"/>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19.对建设项目经济合同履行情况进行审计。</w:t>
            </w:r>
          </w:p>
        </w:tc>
        <w:tc>
          <w:tcPr>
            <w:tcW w:w="684" w:type="dxa"/>
            <w:vMerge w:val="continue"/>
            <w:tcBorders>
              <w:top w:val="nil"/>
              <w:left w:val="single" w:color="auto" w:sz="4" w:space="0"/>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w:t>
            </w:r>
          </w:p>
        </w:tc>
        <w:tc>
          <w:tcPr>
            <w:tcW w:w="1200" w:type="dxa"/>
            <w:vMerge w:val="restart"/>
            <w:tcBorders>
              <w:top w:val="nil"/>
              <w:left w:val="single" w:color="auto" w:sz="4" w:space="0"/>
              <w:bottom w:val="single" w:color="auto"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建设管理</w:t>
            </w:r>
          </w:p>
        </w:tc>
        <w:tc>
          <w:tcPr>
            <w:tcW w:w="6139"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20.对建设单位按国家有关规定和本单位实际情况建立健全相关的内控制度，以及制度的合规性、完整性、有效性进行审计。</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21.对勘察、设计、施工、监理、质量检测等建设相关单位工程质量管理责任履行及验收程度规定执行情况进行审计。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8</w:t>
            </w:r>
          </w:p>
        </w:tc>
        <w:tc>
          <w:tcPr>
            <w:tcW w:w="1200" w:type="dxa"/>
            <w:vMerge w:val="restart"/>
            <w:tcBorders>
              <w:top w:val="nil"/>
              <w:left w:val="single" w:color="auto" w:sz="4" w:space="0"/>
              <w:bottom w:val="single" w:color="000000"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建设资金筹集与使用</w:t>
            </w: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22.对建设项目资金落实情况、到位情况的真实性和资金管理、使用的合规性进行审计。</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23.对建设资金使用、独立核算的真实性、合法性、合规性进行审计。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000000"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24.对建设项目资金支付与建设项目施工进度的一致性进行审计。</w:t>
            </w:r>
            <w:bookmarkStart w:id="0" w:name="_GoBack"/>
            <w:bookmarkEnd w:id="0"/>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9</w:t>
            </w:r>
          </w:p>
        </w:tc>
        <w:tc>
          <w:tcPr>
            <w:tcW w:w="1200" w:type="dxa"/>
            <w:vMerge w:val="restart"/>
            <w:tcBorders>
              <w:top w:val="nil"/>
              <w:left w:val="single" w:color="auto" w:sz="4" w:space="0"/>
              <w:bottom w:val="single" w:color="auto"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财务核算</w:t>
            </w:r>
          </w:p>
        </w:tc>
        <w:tc>
          <w:tcPr>
            <w:tcW w:w="6139"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25.对建设项目成本、财务收支核算的真实性、合法性、合规性进行审计。</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26.对建设单位设置会计机构，配备会计人员，职责分工的合规性进行审计。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27.对建设单位的有关会计事项办理会计手续、会计核算与概算口径的符合性、合规性进行审计。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28.对财务报表的真实性、合法性、完整性进行审计。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29.对建设单位账户开设、存款管理的真实性、合法性进行审计。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33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工程结算</w:t>
            </w:r>
          </w:p>
        </w:tc>
        <w:tc>
          <w:tcPr>
            <w:tcW w:w="6139"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30.对工程价款结算的真实性、合法性、合规性进行审计。31.对变更、施工现场签证、索赔和计量的真实性、合规性、及时性、完整性进行审计。</w:t>
            </w:r>
          </w:p>
        </w:tc>
        <w:tc>
          <w:tcPr>
            <w:tcW w:w="684" w:type="dxa"/>
            <w:tcBorders>
              <w:top w:val="single" w:color="auto" w:sz="4" w:space="0"/>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20"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w:t>
            </w:r>
          </w:p>
        </w:tc>
        <w:tc>
          <w:tcPr>
            <w:tcW w:w="1200"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竣工决算</w:t>
            </w:r>
          </w:p>
        </w:tc>
        <w:tc>
          <w:tcPr>
            <w:tcW w:w="6139"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32.对竣工决算报表和交付使用资产的真实性、合规性、完整性进行审计。</w:t>
            </w:r>
          </w:p>
        </w:tc>
        <w:tc>
          <w:tcPr>
            <w:tcW w:w="684" w:type="dxa"/>
            <w:vMerge w:val="restart"/>
            <w:tcBorders>
              <w:top w:val="single" w:color="auto" w:sz="4" w:space="0"/>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33.对竣工移交手续的合规性、完整性进行审计。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34.对未完工程的真实性、合规性进行审计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35.对结余资金处理的合规性进行审计。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c>
          <w:tcPr>
            <w:tcW w:w="1200" w:type="dxa"/>
            <w:vMerge w:val="restart"/>
            <w:tcBorders>
              <w:top w:val="nil"/>
              <w:left w:val="single" w:color="auto" w:sz="4" w:space="0"/>
              <w:bottom w:val="single" w:color="auto"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环境保护</w:t>
            </w:r>
          </w:p>
        </w:tc>
        <w:tc>
          <w:tcPr>
            <w:tcW w:w="6139"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36.对环境治理项目和主体项目同时设计、同时施工、同时投产的真实性进行审计。</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37.对建设项目节能减排或降耗措施到位的真实性进行审计。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38.对建设项目破坏或毁损自然资源生态情况进行审计。</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13</w:t>
            </w:r>
          </w:p>
        </w:tc>
        <w:tc>
          <w:tcPr>
            <w:tcW w:w="1200" w:type="dxa"/>
            <w:vMerge w:val="restart"/>
            <w:tcBorders>
              <w:top w:val="nil"/>
              <w:left w:val="single" w:color="auto" w:sz="4" w:space="0"/>
              <w:bottom w:val="single" w:color="auto" w:sz="4" w:space="0"/>
              <w:right w:val="nil"/>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投资绩效</w:t>
            </w:r>
          </w:p>
        </w:tc>
        <w:tc>
          <w:tcPr>
            <w:tcW w:w="6139"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39.依据有关社会、经济、技术、环境等指标和项目可行性研究报告，结合工程的实际情况，评价项目的效益情况。</w:t>
            </w:r>
          </w:p>
        </w:tc>
        <w:tc>
          <w:tcPr>
            <w:tcW w:w="684" w:type="dxa"/>
            <w:vMerge w:val="restart"/>
            <w:tcBorders>
              <w:top w:val="nil"/>
              <w:left w:val="nil"/>
              <w:bottom w:val="single" w:color="auto" w:sz="4" w:space="0"/>
              <w:right w:val="single" w:color="auto" w:sz="4" w:space="0"/>
            </w:tcBorders>
            <w:shd w:val="clear" w:color="auto" w:fill="auto"/>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rPr>
            </w:pPr>
          </w:p>
        </w:tc>
        <w:tc>
          <w:tcPr>
            <w:tcW w:w="1200" w:type="dxa"/>
            <w:vMerge w:val="continue"/>
            <w:tcBorders>
              <w:top w:val="nil"/>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color w:val="000000"/>
                <w:sz w:val="24"/>
              </w:rPr>
            </w:pPr>
          </w:p>
        </w:tc>
        <w:tc>
          <w:tcPr>
            <w:tcW w:w="613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40.评价建设资金的使用效果和合理利用程度。</w:t>
            </w:r>
          </w:p>
        </w:tc>
        <w:tc>
          <w:tcPr>
            <w:tcW w:w="684" w:type="dxa"/>
            <w:vMerge w:val="continue"/>
            <w:tcBorders>
              <w:top w:val="nil"/>
              <w:left w:val="nil"/>
              <w:bottom w:val="single" w:color="auto" w:sz="4" w:space="0"/>
              <w:right w:val="single" w:color="auto" w:sz="4" w:space="0"/>
            </w:tcBorders>
            <w:shd w:val="clear" w:color="auto" w:fill="auto"/>
          </w:tcPr>
          <w:p>
            <w:pPr>
              <w:rPr>
                <w:rFonts w:ascii="仿宋_GB2312" w:hAnsi="仿宋_GB2312" w:eastAsia="仿宋_GB2312" w:cs="仿宋_GB2312"/>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TYzMzliZTg4NTZlNzJlODVkZTM4ZjEwYTNjZmUifQ=="/>
  </w:docVars>
  <w:rsids>
    <w:rsidRoot w:val="334B25F3"/>
    <w:rsid w:val="01F9165F"/>
    <w:rsid w:val="084E61DE"/>
    <w:rsid w:val="091A1CF8"/>
    <w:rsid w:val="0BB91A22"/>
    <w:rsid w:val="115B43F1"/>
    <w:rsid w:val="121814E5"/>
    <w:rsid w:val="12CC25F6"/>
    <w:rsid w:val="12E60EC6"/>
    <w:rsid w:val="13E76FC3"/>
    <w:rsid w:val="15E92D14"/>
    <w:rsid w:val="185C02DC"/>
    <w:rsid w:val="1881226D"/>
    <w:rsid w:val="19D70E3C"/>
    <w:rsid w:val="1C405310"/>
    <w:rsid w:val="20636DB5"/>
    <w:rsid w:val="20F114AE"/>
    <w:rsid w:val="23247A53"/>
    <w:rsid w:val="24C97368"/>
    <w:rsid w:val="26697D84"/>
    <w:rsid w:val="2D8B1201"/>
    <w:rsid w:val="2DE27307"/>
    <w:rsid w:val="2F4F08DF"/>
    <w:rsid w:val="3283537B"/>
    <w:rsid w:val="32887BE4"/>
    <w:rsid w:val="334B25F3"/>
    <w:rsid w:val="37016060"/>
    <w:rsid w:val="38F143FA"/>
    <w:rsid w:val="3A466C1D"/>
    <w:rsid w:val="3BC20B9D"/>
    <w:rsid w:val="3C783241"/>
    <w:rsid w:val="42A45642"/>
    <w:rsid w:val="49A24D77"/>
    <w:rsid w:val="4BC20AC1"/>
    <w:rsid w:val="51537C39"/>
    <w:rsid w:val="52C40D49"/>
    <w:rsid w:val="5560384B"/>
    <w:rsid w:val="56EA6524"/>
    <w:rsid w:val="586B32BD"/>
    <w:rsid w:val="590B4259"/>
    <w:rsid w:val="5AA63E3B"/>
    <w:rsid w:val="5C3E469A"/>
    <w:rsid w:val="5CD17395"/>
    <w:rsid w:val="5E891B80"/>
    <w:rsid w:val="5ED94D2A"/>
    <w:rsid w:val="66B03A55"/>
    <w:rsid w:val="681C7956"/>
    <w:rsid w:val="6D7604E1"/>
    <w:rsid w:val="6EDB79FF"/>
    <w:rsid w:val="70404539"/>
    <w:rsid w:val="733E2083"/>
    <w:rsid w:val="76010E26"/>
    <w:rsid w:val="77D1602C"/>
    <w:rsid w:val="78D226F6"/>
    <w:rsid w:val="7ADB4EF6"/>
    <w:rsid w:val="7B7A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widowControl/>
      <w:spacing w:beforeLines="0" w:beforeAutospacing="0" w:afterLines="0" w:afterAutospacing="0" w:line="580" w:lineRule="exact"/>
      <w:ind w:firstLine="0" w:firstLineChars="0"/>
      <w:jc w:val="center"/>
      <w:outlineLvl w:val="0"/>
    </w:pPr>
    <w:rPr>
      <w:rFonts w:ascii="Times New Roman" w:hAnsi="Times New Roman" w:eastAsia="方正小标宋_GBK" w:cstheme="minorBidi"/>
      <w:sz w:val="44"/>
      <w:szCs w:val="44"/>
    </w:rPr>
  </w:style>
  <w:style w:type="paragraph" w:styleId="4">
    <w:name w:val="heading 2"/>
    <w:basedOn w:val="1"/>
    <w:next w:val="1"/>
    <w:semiHidden/>
    <w:unhideWhenUsed/>
    <w:qFormat/>
    <w:uiPriority w:val="0"/>
    <w:pPr>
      <w:keepNext w:val="0"/>
      <w:keepLines w:val="0"/>
      <w:widowControl/>
      <w:spacing w:beforeLines="0" w:beforeAutospacing="0" w:afterLines="0" w:afterAutospacing="0" w:line="580" w:lineRule="exact"/>
      <w:ind w:firstLine="723" w:firstLineChars="200"/>
      <w:outlineLvl w:val="1"/>
    </w:pPr>
    <w:rPr>
      <w:rFonts w:ascii="Arial" w:hAnsi="Arial" w:eastAsia="黑体"/>
      <w:sz w:val="32"/>
      <w:szCs w:val="24"/>
    </w:rPr>
  </w:style>
  <w:style w:type="paragraph" w:styleId="5">
    <w:name w:val="heading 3"/>
    <w:basedOn w:val="1"/>
    <w:next w:val="1"/>
    <w:link w:val="9"/>
    <w:semiHidden/>
    <w:unhideWhenUsed/>
    <w:qFormat/>
    <w:uiPriority w:val="0"/>
    <w:pPr>
      <w:keepNext/>
      <w:keepLines/>
      <w:spacing w:line="580" w:lineRule="exact"/>
      <w:ind w:firstLine="880" w:firstLineChars="200"/>
      <w:outlineLvl w:val="2"/>
    </w:pPr>
    <w:rPr>
      <w:rFonts w:ascii="Times New Roman" w:hAnsi="Times New Roman" w:eastAsia="楷体_GB2312"/>
      <w:b/>
      <w:bCs/>
      <w:sz w:val="32"/>
      <w:szCs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Times New Roman" w:eastAsia="仿宋_GB2312"/>
      <w:sz w:val="32"/>
    </w:rPr>
  </w:style>
  <w:style w:type="paragraph" w:styleId="6">
    <w:name w:val="Body Text 3"/>
    <w:basedOn w:val="1"/>
    <w:qFormat/>
    <w:uiPriority w:val="0"/>
    <w:pPr>
      <w:spacing w:after="120" w:afterLines="0" w:afterAutospacing="0"/>
    </w:pPr>
    <w:rPr>
      <w:sz w:val="16"/>
    </w:rPr>
  </w:style>
  <w:style w:type="character" w:customStyle="1" w:styleId="9">
    <w:name w:val="标题 3 Char"/>
    <w:link w:val="5"/>
    <w:qFormat/>
    <w:uiPriority w:val="0"/>
    <w:rPr>
      <w:rFonts w:ascii="Times New Roman" w:hAnsi="Times New Roman" w:eastAsia="楷体_GB2312" w:cs="Times New Roman"/>
      <w:b/>
      <w:bCs/>
      <w:sz w:val="32"/>
      <w:szCs w:val="32"/>
    </w:rPr>
  </w:style>
  <w:style w:type="character" w:customStyle="1" w:styleId="10">
    <w:name w:val="标题 1 Char"/>
    <w:basedOn w:val="8"/>
    <w:link w:val="3"/>
    <w:qFormat/>
    <w:uiPriority w:val="0"/>
    <w:rPr>
      <w:rFonts w:ascii="Times New Roman" w:hAnsi="Times New Roman" w:eastAsia="方正小标宋_GBK" w:cstheme="minorBidi"/>
      <w:bCs/>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2023-09-26T01:42:00Z</dcterms:created>
  <dc:creator>李玉哲</dc:creator>
  <cp:lastModifiedBy>李玉哲</cp:lastModifiedBy>
  <dcterms:modified xsi:type="dcterms:W3CDTF">2023-09-26T02:11:31Z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83111C61136A48F8889AF9DBE88DAB8F_11</vt:lpwstr>
  </property>
</Properties>
</file>