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lang w:eastAsia="zh-CN"/>
        </w:rPr>
        <w:t>千阳县</w:t>
      </w:r>
      <w:r>
        <w:rPr>
          <w:rFonts w:hint="eastAsia" w:ascii="方正小标宋简体" w:hAnsi="方正小标宋简体" w:eastAsia="方正小标宋简体" w:cs="方正小标宋简体"/>
          <w:b w:val="0"/>
          <w:bCs w:val="0"/>
          <w:sz w:val="48"/>
          <w:szCs w:val="48"/>
          <w:lang w:val="en-US" w:eastAsia="zh-CN"/>
        </w:rPr>
        <w:t>民政</w:t>
      </w:r>
      <w:r>
        <w:rPr>
          <w:rFonts w:hint="eastAsia" w:ascii="方正小标宋简体" w:hAnsi="方正小标宋简体" w:eastAsia="方正小标宋简体" w:cs="方正小标宋简体"/>
          <w:b w:val="0"/>
          <w:bCs w:val="0"/>
          <w:sz w:val="48"/>
          <w:szCs w:val="48"/>
        </w:rPr>
        <w:t>局（</w:t>
      </w:r>
      <w:r>
        <w:rPr>
          <w:rFonts w:hint="eastAsia" w:ascii="方正小标宋简体" w:hAnsi="方正小标宋简体" w:eastAsia="方正小标宋简体" w:cs="方正小标宋简体"/>
          <w:b w:val="0"/>
          <w:bCs w:val="0"/>
          <w:sz w:val="48"/>
          <w:szCs w:val="48"/>
          <w:lang w:val="en-US" w:eastAsia="zh-CN"/>
        </w:rPr>
        <w:t>本级</w:t>
      </w:r>
      <w:r>
        <w:rPr>
          <w:rFonts w:hint="eastAsia" w:ascii="方正小标宋简体" w:hAnsi="方正小标宋简体" w:eastAsia="方正小标宋简体" w:cs="方正小标宋简体"/>
          <w:b w:val="0"/>
          <w:bCs w:val="0"/>
          <w:sz w:val="48"/>
          <w:szCs w:val="48"/>
        </w:rPr>
        <w:t>）</w:t>
      </w: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rPr>
        <w:t>20</w:t>
      </w:r>
      <w:r>
        <w:rPr>
          <w:rFonts w:hint="eastAsia" w:ascii="方正小标宋简体" w:hAnsi="方正小标宋简体" w:eastAsia="方正小标宋简体" w:cs="方正小标宋简体"/>
          <w:b w:val="0"/>
          <w:bCs w:val="0"/>
          <w:sz w:val="48"/>
          <w:szCs w:val="48"/>
          <w:lang w:val="en-US" w:eastAsia="zh-CN"/>
        </w:rPr>
        <w:t>21</w:t>
      </w:r>
      <w:r>
        <w:rPr>
          <w:rFonts w:hint="eastAsia" w:ascii="方正小标宋简体" w:hAnsi="方正小标宋简体" w:eastAsia="方正小标宋简体" w:cs="方正小标宋简体"/>
          <w:b w:val="0"/>
          <w:bCs w:val="0"/>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w:t>
      </w:r>
      <w:r>
        <w:rPr>
          <w:rFonts w:hint="eastAsia" w:ascii="宋体" w:hAnsi="宋体" w:cs="宋体"/>
          <w:b/>
          <w:bCs/>
          <w:sz w:val="32"/>
          <w:szCs w:val="32"/>
        </w:rPr>
        <w:t>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sectPr>
          <w:footerReference r:id="rId3" w:type="default"/>
          <w:pgSz w:w="11906" w:h="16838"/>
          <w:pgMar w:top="2098" w:right="1474" w:bottom="1984" w:left="1587" w:header="851" w:footer="992" w:gutter="0"/>
          <w:cols w:space="0" w:num="1"/>
          <w:docGrid w:type="lines" w:linePitch="315" w:charSpace="0"/>
        </w:sectPr>
      </w:pPr>
    </w:p>
    <w:p>
      <w:pPr>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lang w:bidi="ar"/>
        </w:rPr>
        <w:t>第一部分  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第二部分  </w:t>
      </w:r>
      <w:r>
        <w:rPr>
          <w:rFonts w:hint="eastAsia" w:ascii="方正小标宋简体" w:hAnsi="方正小标宋简体" w:eastAsia="方正小标宋简体" w:cs="方正小标宋简体"/>
          <w:color w:val="000000"/>
          <w:kern w:val="0"/>
          <w:sz w:val="32"/>
          <w:szCs w:val="32"/>
          <w:lang w:eastAsia="zh-CN" w:bidi="ar"/>
        </w:rPr>
        <w:t>202</w:t>
      </w:r>
      <w:r>
        <w:rPr>
          <w:rFonts w:hint="eastAsia" w:ascii="方正小标宋简体" w:hAnsi="方正小标宋简体" w:eastAsia="方正小标宋简体" w:cs="方正小标宋简体"/>
          <w:color w:val="000000"/>
          <w:kern w:val="0"/>
          <w:sz w:val="32"/>
          <w:szCs w:val="32"/>
          <w:lang w:val="en-US" w:eastAsia="zh-CN" w:bidi="ar"/>
        </w:rPr>
        <w:t>1</w:t>
      </w:r>
      <w:r>
        <w:rPr>
          <w:rFonts w:hint="eastAsia" w:ascii="方正小标宋简体" w:hAnsi="方正小标宋简体" w:eastAsia="方正小标宋简体" w:cs="方正小标宋简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九、国有资本经营预算财政拨款支出决算表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第三部分  </w:t>
      </w:r>
      <w:r>
        <w:rPr>
          <w:rFonts w:hint="eastAsia" w:ascii="方正小标宋简体" w:hAnsi="方正小标宋简体" w:eastAsia="方正小标宋简体" w:cs="方正小标宋简体"/>
          <w:color w:val="000000"/>
          <w:kern w:val="0"/>
          <w:sz w:val="32"/>
          <w:szCs w:val="32"/>
          <w:lang w:eastAsia="zh-CN" w:bidi="ar"/>
        </w:rPr>
        <w:t>202</w:t>
      </w:r>
      <w:r>
        <w:rPr>
          <w:rFonts w:hint="eastAsia" w:ascii="方正小标宋简体" w:hAnsi="方正小标宋简体" w:eastAsia="方正小标宋简体" w:cs="方正小标宋简体"/>
          <w:color w:val="000000"/>
          <w:kern w:val="0"/>
          <w:sz w:val="32"/>
          <w:szCs w:val="32"/>
          <w:lang w:val="en-US" w:eastAsia="zh-CN" w:bidi="ar"/>
        </w:rPr>
        <w:t>1</w:t>
      </w:r>
      <w:r>
        <w:rPr>
          <w:rFonts w:hint="eastAsia" w:ascii="方正小标宋简体" w:hAnsi="方正小标宋简体" w:eastAsia="方正小标宋简体" w:cs="方正小标宋简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十一、</w:t>
      </w:r>
      <w:r>
        <w:rPr>
          <w:rFonts w:hint="eastAsia" w:ascii="仿宋" w:hAnsi="仿宋" w:eastAsia="仿宋" w:cs="楷体"/>
          <w:color w:val="000000"/>
          <w:kern w:val="0"/>
          <w:sz w:val="32"/>
          <w:szCs w:val="32"/>
          <w:lang w:bidi="ar"/>
        </w:rPr>
        <w:t>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十二、</w:t>
      </w:r>
      <w:r>
        <w:rPr>
          <w:rFonts w:hint="eastAsia" w:ascii="仿宋" w:hAnsi="仿宋" w:eastAsia="仿宋" w:cs="楷体"/>
          <w:color w:val="000000"/>
          <w:kern w:val="0"/>
          <w:sz w:val="32"/>
          <w:szCs w:val="32"/>
          <w:lang w:bidi="ar"/>
        </w:rPr>
        <w:t>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十三、</w:t>
      </w:r>
      <w:r>
        <w:rPr>
          <w:rFonts w:hint="eastAsia" w:ascii="仿宋" w:hAnsi="仿宋" w:eastAsia="仿宋" w:cs="楷体"/>
          <w:color w:val="000000"/>
          <w:kern w:val="0"/>
          <w:sz w:val="32"/>
          <w:szCs w:val="32"/>
          <w:lang w:bidi="ar"/>
        </w:rPr>
        <w:t>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第四部分 专业名词解释</w:t>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第一部分 部门概况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楷体" w:hAnsi="楷体" w:eastAsia="楷体" w:cs="楷体"/>
          <w:b/>
          <w:bCs/>
          <w:color w:val="000000"/>
          <w:kern w:val="0"/>
          <w:sz w:val="32"/>
          <w:szCs w:val="32"/>
          <w:lang w:val="en-US" w:eastAsia="zh-CN" w:bidi="ar"/>
        </w:rPr>
      </w:pPr>
      <w:r>
        <w:rPr>
          <w:rFonts w:hint="eastAsia" w:ascii="仿宋" w:hAnsi="仿宋" w:eastAsia="仿宋" w:cs="仿宋"/>
          <w:sz w:val="32"/>
          <w:szCs w:val="32"/>
          <w:lang w:val="en-US" w:eastAsia="zh-CN"/>
        </w:rPr>
        <w:t>1、贯彻执行民政工作方面的法律法规和政策规定，拟订全县民政事业发展规划、规章制度并组织实施。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2、拟订全县社会组织发展规划，负责组织实施和监督检查；依法对县本级社会团体、基金会、社会服务机构等社会组织进行登记管理和执法监督；负责社会组织党的建设、制度建设和人才队伍建设。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3、拟订社会救助工作规划、标准，负责城乡居民最低生活保障、特困人员救助供养、临时救助、生活无着流浪乞讨人员救助工作，统筹全县城乡社会救助体系建设。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4、拟订城乡基层政权建设和社区治理规划并组织实施，指导协调全县城乡社区治理体系和治理能力建设，提出加强和改进城乡基层政权建设的建议，推进基层民主政治建设。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5、负责全县行政区划、地名管理及行政区域界线的管理和调整工作。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6、负责全县婚姻登记管理，推进婚俗改革。</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7、拟订全县殡葬改革规划并组织实施，负责依法加强殡葬管理，规范殡葬服务，推进殡葬改革。承办全县经营性公墓的审核报批工作。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8、拟订全县养老服务体系建设规划并组织实施，统筹推进、督促指导、监督管理养老服务工作，承担老年人和特殊困难群体社会福利和权益保障工作，促进养老服务产业发展。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9、拟订残疾人权益保护规划并组织实施，统筹推进残疾人福利制度建设和康复辅助器具产业发展。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10、拟订全县儿童福利、孤弃儿童保障、儿童收养、儿童救助保护规划并组织实施，健全农村留守儿童关爱服务体系和困境儿童保障制度。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11、拟订全县促进慈善事业发展规划并组织实施，指导社会捐助工作，负责福利彩票管理工作。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12、拟订全县社会工作、志愿服务发展规划并组织实施，会同有关部门推进社会工作人才队伍和志愿者队伍建设，负责全县政府购买社会工作服务的统筹规划、组织实施和绩效评估。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13、完成县委、县政府交办的其他任务。</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14、职能转变。县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15、有关职责分工。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与县卫生健康局的有关职责分工。县民政局负责统筹推进、督促指导、监督管理养老服务工作，拟订全县养老服务体系建设规划、标准并组织实施，承担老年人福利和特殊困难老年人救助工作。县卫生健康局负责拟订应对全县人口老龄化、医养结合制度措施，综合协调、督促指导、组织推进老龄事业发展，承担老年疾病防治、老年人医疗照护、老年人心理健康与关怀服务等老年健康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与县自然资源局的有关职责分工。县民政局会同县自然资源局组织编制公布行政区划信息的千阳县行政区划图。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局机关共设置4个内设机构，分别为：政秘股、社会事务股（婚姻登记处）、社会救助股、基层政权股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机关党的机构按党章规定设置。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纪检、监察机构按有关规定设置。</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千阳县民政局(</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val="en-US" w:eastAsia="zh-CN"/>
              </w:rPr>
              <w:t>)</w:t>
            </w:r>
          </w:p>
        </w:tc>
      </w:tr>
    </w:tbl>
    <w:p>
      <w:pPr>
        <w:numPr>
          <w:ilvl w:val="0"/>
          <w:numId w:val="1"/>
        </w:numPr>
        <w:ind w:firstLine="640"/>
        <w:rPr>
          <w:rFonts w:hint="eastAsia" w:ascii="黑体" w:hAnsi="黑体" w:eastAsia="黑体"/>
          <w:b/>
          <w:bCs/>
          <w:sz w:val="32"/>
          <w:szCs w:val="32"/>
        </w:rPr>
      </w:pPr>
      <w:r>
        <w:rPr>
          <w:rFonts w:hint="eastAsia" w:ascii="黑体" w:hAnsi="黑体" w:eastAsia="黑体"/>
          <w:b/>
          <w:bCs/>
          <w:sz w:val="32"/>
          <w:szCs w:val="32"/>
          <w:lang w:eastAsia="zh-CN"/>
        </w:rPr>
        <w:drawing>
          <wp:anchor distT="0" distB="0" distL="114300" distR="114300" simplePos="0" relativeHeight="251659264" behindDoc="0" locked="0" layoutInCell="1" allowOverlap="1">
            <wp:simplePos x="0" y="0"/>
            <wp:positionH relativeFrom="column">
              <wp:posOffset>280670</wp:posOffset>
            </wp:positionH>
            <wp:positionV relativeFrom="paragraph">
              <wp:posOffset>431165</wp:posOffset>
            </wp:positionV>
            <wp:extent cx="5080000" cy="38100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b/>
          <w:bCs/>
          <w:sz w:val="32"/>
          <w:szCs w:val="32"/>
        </w:rPr>
        <w:t>部门人员情况</w:t>
      </w:r>
    </w:p>
    <w:p>
      <w:pPr>
        <w:numPr>
          <w:ilvl w:val="0"/>
          <w:numId w:val="0"/>
        </w:numPr>
        <w:rPr>
          <w:rFonts w:hint="eastAsia" w:ascii="黑体" w:hAnsi="黑体" w:eastAsia="黑体"/>
          <w:b/>
          <w:bCs/>
          <w:color w:val="auto"/>
          <w:sz w:val="32"/>
          <w:szCs w:val="32"/>
          <w:lang w:eastAsia="zh-CN"/>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p>
      <w:pPr>
        <w:widowControl/>
        <w:jc w:val="center"/>
        <w:rPr>
          <w:rFonts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 xml:space="preserve">第二部分 </w:t>
      </w:r>
      <w:r>
        <w:rPr>
          <w:rFonts w:hint="eastAsia" w:ascii="方正小标宋简体" w:hAnsi="方正小标宋简体" w:eastAsia="方正小标宋简体" w:cs="方正小标宋简体"/>
          <w:color w:val="000000"/>
          <w:kern w:val="0"/>
          <w:sz w:val="44"/>
          <w:szCs w:val="44"/>
          <w:lang w:eastAsia="zh-CN" w:bidi="ar"/>
        </w:rPr>
        <w:t>202</w:t>
      </w:r>
      <w:r>
        <w:rPr>
          <w:rFonts w:hint="eastAsia" w:ascii="方正小标宋简体" w:hAnsi="方正小标宋简体" w:eastAsia="方正小标宋简体" w:cs="方正小标宋简体"/>
          <w:color w:val="000000"/>
          <w:kern w:val="0"/>
          <w:sz w:val="44"/>
          <w:szCs w:val="44"/>
          <w:lang w:val="en-US" w:eastAsia="zh-CN" w:bidi="ar"/>
        </w:rPr>
        <w:t>1</w:t>
      </w:r>
      <w:r>
        <w:rPr>
          <w:rFonts w:hint="eastAsia" w:ascii="方正小标宋简体" w:hAnsi="方正小标宋简体" w:eastAsia="方正小标宋简体" w:cs="方正小标宋简体"/>
          <w:color w:val="000000"/>
          <w:kern w:val="0"/>
          <w:sz w:val="44"/>
          <w:szCs w:val="44"/>
          <w:lang w:bidi="ar"/>
        </w:rPr>
        <w:t>年度部门决算表</w:t>
      </w:r>
    </w:p>
    <w:tbl>
      <w:tblPr>
        <w:tblStyle w:val="10"/>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2021年无</w:t>
            </w:r>
            <w:r>
              <w:rPr>
                <w:rFonts w:hint="eastAsia" w:ascii="宋体" w:hAnsi="宋体" w:cs="宋体"/>
                <w:color w:val="000000"/>
                <w:kern w:val="0"/>
                <w:sz w:val="24"/>
                <w:lang w:eastAsia="zh-CN" w:bidi="ar"/>
              </w:rPr>
              <w:t>国有资本经营预算财政拨款支出</w:t>
            </w:r>
          </w:p>
        </w:tc>
      </w:tr>
    </w:tbl>
    <w:p>
      <w:pPr>
        <w:jc w:val="center"/>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b/>
          <w:bCs/>
          <w:sz w:val="32"/>
          <w:szCs w:val="32"/>
        </w:rPr>
      </w:pPr>
      <w:r>
        <w:rPr>
          <w:rFonts w:hint="eastAsia" w:ascii="宋体" w:hAnsi="宋体" w:cs="宋体"/>
          <w:b/>
          <w:bCs/>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4,381.83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165.46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6.经营收入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7.附属单位上缴收入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7.</w:t>
            </w:r>
            <w:r>
              <w:rPr>
                <w:rFonts w:hint="eastAsia" w:ascii="宋体" w:hAnsi="宋体" w:cs="宋体"/>
                <w:color w:val="000000"/>
                <w:kern w:val="0"/>
                <w:szCs w:val="21"/>
              </w:rPr>
              <w:t>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8.其他收入</w:t>
            </w:r>
          </w:p>
        </w:tc>
        <w:tc>
          <w:tcPr>
            <w:tcW w:w="1080"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4,349.09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8.自然资源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10.13</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w:t>
            </w:r>
            <w:r>
              <w:rPr>
                <w:rFonts w:hint="eastAsia" w:ascii="宋体" w:hAnsi="宋体" w:cs="宋体"/>
                <w:color w:val="000000"/>
                <w:kern w:val="0"/>
                <w:szCs w:val="21"/>
                <w:lang w:val="en-US" w:eastAsia="zh-CN"/>
              </w:rPr>
              <w:t>.</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w:t>
            </w:r>
            <w:r>
              <w:rPr>
                <w:rFonts w:hint="eastAsia" w:ascii="宋体" w:hAnsi="宋体" w:cs="宋体"/>
                <w:color w:val="000000"/>
                <w:kern w:val="0"/>
                <w:szCs w:val="21"/>
                <w:lang w:eastAsia="zh-CN"/>
              </w:rPr>
              <w:t>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lang w:eastAsia="zh-CN"/>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165.46</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24.抗疫特别国债安排的支出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0.00</w:t>
            </w: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4,547.29</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4,547.68</w:t>
            </w:r>
          </w:p>
        </w:tc>
      </w:tr>
      <w:tr>
        <w:tblPrEx>
          <w:tblCellMar>
            <w:top w:w="15" w:type="dxa"/>
            <w:left w:w="15" w:type="dxa"/>
            <w:bottom w:w="15" w:type="dxa"/>
            <w:right w:w="15" w:type="dxa"/>
          </w:tblCellMar>
        </w:tblPrEx>
        <w:trPr>
          <w:trHeight w:val="9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0.39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0.39</w:t>
            </w:r>
          </w:p>
        </w:tc>
      </w:tr>
      <w:tr>
        <w:tblPrEx>
          <w:tblCellMar>
            <w:top w:w="15" w:type="dxa"/>
            <w:left w:w="15" w:type="dxa"/>
            <w:bottom w:w="15" w:type="dxa"/>
            <w:right w:w="15" w:type="dxa"/>
          </w:tblCellMar>
        </w:tblPrEx>
        <w:trPr>
          <w:trHeight w:val="15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4547.68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4547.68</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outlineLvl w:val="9"/>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67" w:type="dxa"/>
        <w:tblInd w:w="0" w:type="dxa"/>
        <w:tblLayout w:type="fixed"/>
        <w:tblCellMar>
          <w:top w:w="15" w:type="dxa"/>
          <w:left w:w="15" w:type="dxa"/>
          <w:bottom w:w="15" w:type="dxa"/>
          <w:right w:w="15" w:type="dxa"/>
        </w:tblCellMar>
      </w:tblPr>
      <w:tblGrid>
        <w:gridCol w:w="927"/>
        <w:gridCol w:w="755"/>
        <w:gridCol w:w="934"/>
        <w:gridCol w:w="918"/>
        <w:gridCol w:w="593"/>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4,547.29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4,547.29</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4,348.70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4,348.70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民政管理事务</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300.38</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300.38</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171.38</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171.38</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2080206</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社会组织管理</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2080207</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50"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社会福利</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33.74</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33.74</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儿童福利</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30.74</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30.74</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残疾人事业</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0.40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2081107</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1908"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公共卫生</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2100410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165.46</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165.46</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2290804</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福利彩票销售机构的业务费支出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158.59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158.59</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2296002</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141.59</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141.59</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9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5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4,547.68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181.90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4,365.78</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4,349.09</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171.77</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4,177.32</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300.77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171.77</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171.77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171.77</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社会组织管理</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社会福利</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33.74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33.74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儿童福利</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30.74</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30.74</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残疾人事业</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2089999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3,915.37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公共卫生</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2100410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165.46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165.46</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2290804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福利彩票销售机构的业务费支出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6.87</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彩票公益金安排的支出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158.59</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158.59</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141.59</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141.59</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2296099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1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宋体" w:hAnsi="宋体" w:cs="宋体"/>
          <w:b/>
          <w:bCs/>
          <w:sz w:val="32"/>
          <w:szCs w:val="32"/>
        </w:rPr>
      </w:pPr>
      <w:r>
        <w:rPr>
          <w:rFonts w:hint="eastAsia" w:ascii="宋体" w:hAnsi="宋体" w:cs="宋体"/>
          <w:b/>
          <w:bCs/>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52" w:type="dxa"/>
        <w:tblInd w:w="0" w:type="dxa"/>
        <w:tblLayout w:type="fixed"/>
        <w:tblCellMar>
          <w:top w:w="15" w:type="dxa"/>
          <w:left w:w="15" w:type="dxa"/>
          <w:bottom w:w="15" w:type="dxa"/>
          <w:right w:w="15" w:type="dxa"/>
        </w:tblCellMar>
      </w:tblPr>
      <w:tblGrid>
        <w:gridCol w:w="1443"/>
        <w:gridCol w:w="1038"/>
        <w:gridCol w:w="2330"/>
        <w:gridCol w:w="935"/>
        <w:gridCol w:w="953"/>
        <w:gridCol w:w="1101"/>
        <w:gridCol w:w="1052"/>
      </w:tblGrid>
      <w:tr>
        <w:tblPrEx>
          <w:tblCellMar>
            <w:top w:w="15" w:type="dxa"/>
            <w:left w:w="15" w:type="dxa"/>
            <w:bottom w:w="15" w:type="dxa"/>
            <w:right w:w="15" w:type="dxa"/>
          </w:tblCellMar>
        </w:tblPrEx>
        <w:trPr>
          <w:trHeight w:val="276"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53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p>
        </w:tc>
      </w:tr>
      <w:tr>
        <w:tblPrEx>
          <w:tblCellMar>
            <w:top w:w="15" w:type="dxa"/>
            <w:left w:w="15" w:type="dxa"/>
            <w:bottom w:w="15" w:type="dxa"/>
            <w:right w:w="15" w:type="dxa"/>
          </w:tblCellMar>
        </w:tblPrEx>
        <w:trPr>
          <w:trHeight w:val="52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9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41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4,381.83</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一般公共服务支出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55"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政府性基金预算财政拨款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165.46</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外交支出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50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3.国有资本经营预算收入</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8"/>
                <w:szCs w:val="18"/>
              </w:rPr>
            </w:pPr>
            <w:r>
              <w:rPr>
                <w:rFonts w:hint="eastAsia" w:ascii="宋体" w:hAnsi="宋体" w:eastAsia="宋体" w:cs="宋体"/>
                <w:i w:val="0"/>
                <w:color w:val="000000"/>
                <w:kern w:val="0"/>
                <w:sz w:val="22"/>
                <w:szCs w:val="22"/>
                <w:u w:val="none"/>
                <w:lang w:val="en-US" w:eastAsia="zh-CN" w:bidi="ar"/>
              </w:rPr>
              <w:t>0.00</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国防支出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90" w:hRule="atLeast"/>
        </w:trPr>
        <w:tc>
          <w:tcPr>
            <w:tcW w:w="144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公共安全支出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71"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教育支出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5"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科学技术支出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7.</w:t>
            </w:r>
            <w:r>
              <w:rPr>
                <w:rFonts w:hint="eastAsia" w:ascii="宋体" w:hAnsi="宋体" w:cs="宋体"/>
                <w:color w:val="000000"/>
                <w:spacing w:val="-11"/>
                <w:w w:val="98"/>
                <w:kern w:val="0"/>
                <w:sz w:val="18"/>
                <w:szCs w:val="18"/>
              </w:rPr>
              <w:t>文化</w:t>
            </w:r>
            <w:r>
              <w:rPr>
                <w:rFonts w:hint="eastAsia" w:ascii="宋体" w:hAnsi="宋体" w:cs="宋体"/>
                <w:color w:val="000000"/>
                <w:spacing w:val="-11"/>
                <w:w w:val="98"/>
                <w:kern w:val="0"/>
                <w:sz w:val="18"/>
                <w:szCs w:val="18"/>
                <w:lang w:eastAsia="zh-CN"/>
              </w:rPr>
              <w:t>旅游</w:t>
            </w:r>
            <w:r>
              <w:rPr>
                <w:rFonts w:hint="eastAsia" w:ascii="宋体" w:hAnsi="宋体" w:cs="宋体"/>
                <w:color w:val="000000"/>
                <w:spacing w:val="-11"/>
                <w:w w:val="98"/>
                <w:kern w:val="0"/>
                <w:sz w:val="18"/>
                <w:szCs w:val="18"/>
              </w:rPr>
              <w:t>体育与传媒支出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8.</w:t>
            </w:r>
            <w:r>
              <w:rPr>
                <w:rFonts w:hint="eastAsia" w:ascii="宋体" w:hAnsi="宋体" w:cs="宋体"/>
                <w:color w:val="000000"/>
                <w:kern w:val="0"/>
                <w:sz w:val="18"/>
                <w:szCs w:val="18"/>
              </w:rPr>
              <w:t>社会保障和就业支出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4,348.70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4,348.70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9.卫生健康</w:t>
            </w:r>
            <w:r>
              <w:rPr>
                <w:rFonts w:hint="eastAsia" w:ascii="宋体" w:hAnsi="宋体" w:cs="宋体"/>
                <w:color w:val="000000"/>
                <w:kern w:val="0"/>
                <w:sz w:val="18"/>
                <w:szCs w:val="18"/>
              </w:rPr>
              <w:t>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23.00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23.00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71"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节能环保支出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城乡社区支出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农林水支出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9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交通运输支出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资源勘探信息等支出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9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商业服务业等支出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48"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金融支出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7.</w:t>
            </w:r>
            <w:r>
              <w:rPr>
                <w:rFonts w:hint="eastAsia" w:ascii="宋体" w:hAnsi="宋体" w:cs="宋体"/>
                <w:color w:val="000000"/>
                <w:kern w:val="0"/>
                <w:sz w:val="18"/>
                <w:szCs w:val="18"/>
              </w:rPr>
              <w:t>援助其他地区支出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2"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18.自然资源海洋气象等支出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9.</w:t>
            </w:r>
            <w:r>
              <w:rPr>
                <w:rFonts w:hint="eastAsia" w:ascii="宋体" w:hAnsi="宋体" w:cs="宋体"/>
                <w:color w:val="000000"/>
                <w:kern w:val="0"/>
                <w:sz w:val="18"/>
                <w:szCs w:val="18"/>
              </w:rPr>
              <w:t>住房保障支出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10.13</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粮油物资储备支出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9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1.国有资本经营预算支出</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7"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lang w:eastAsia="zh-CN"/>
              </w:rPr>
              <w:t>灾害防治及应急管理支出</w:t>
            </w:r>
          </w:p>
        </w:tc>
        <w:tc>
          <w:tcPr>
            <w:tcW w:w="93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r>
              <w:rPr>
                <w:rFonts w:hint="eastAsia" w:ascii="宋体" w:hAnsi="宋体" w:cs="宋体"/>
                <w:color w:val="000000"/>
                <w:kern w:val="0"/>
                <w:sz w:val="18"/>
                <w:szCs w:val="18"/>
                <w:lang w:eastAsia="zh-CN"/>
              </w:rPr>
              <w:t>其他支出</w:t>
            </w:r>
          </w:p>
        </w:tc>
        <w:tc>
          <w:tcPr>
            <w:tcW w:w="93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165.46</w:t>
            </w:r>
          </w:p>
        </w:tc>
        <w:tc>
          <w:tcPr>
            <w:tcW w:w="953"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165.46</w:t>
            </w:r>
          </w:p>
        </w:tc>
        <w:tc>
          <w:tcPr>
            <w:tcW w:w="105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9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24.抗疫特别国债安排的支出</w:t>
            </w:r>
          </w:p>
        </w:tc>
        <w:tc>
          <w:tcPr>
            <w:tcW w:w="93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53"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01"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052"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w:t>
      </w:r>
      <w:r>
        <w:rPr>
          <w:rFonts w:hint="eastAsia" w:ascii="宋体" w:hAnsi="宋体" w:cs="宋体"/>
          <w:b/>
          <w:bCs/>
          <w:szCs w:val="21"/>
          <w:lang w:val="en-US" w:eastAsia="zh-CN"/>
        </w:rPr>
        <w:t>4</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16" w:type="dxa"/>
        <w:tblInd w:w="0" w:type="dxa"/>
        <w:tblLayout w:type="fixed"/>
        <w:tblCellMar>
          <w:top w:w="15" w:type="dxa"/>
          <w:left w:w="15" w:type="dxa"/>
          <w:bottom w:w="15" w:type="dxa"/>
          <w:right w:w="15" w:type="dxa"/>
        </w:tblCellMar>
      </w:tblPr>
      <w:tblGrid>
        <w:gridCol w:w="1534"/>
        <w:gridCol w:w="958"/>
        <w:gridCol w:w="2319"/>
        <w:gridCol w:w="935"/>
        <w:gridCol w:w="1000"/>
        <w:gridCol w:w="1054"/>
        <w:gridCol w:w="1016"/>
      </w:tblGrid>
      <w:tr>
        <w:tblPrEx>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632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r>
      <w:tr>
        <w:tblPrEx>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eastAsia="宋体" w:cs="宋体"/>
                <w:b/>
                <w:color w:val="000000"/>
                <w:kern w:val="0"/>
                <w:sz w:val="18"/>
                <w:szCs w:val="18"/>
                <w:lang w:eastAsia="zh-CN"/>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4,547.29</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4,547.29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4,381.83</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165.46</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一般公共预算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政府性基金预算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360" w:leftChars="0" w:hanging="360" w:hangingChars="200"/>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国有资本经营</w:t>
            </w:r>
          </w:p>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8"/>
                <w:szCs w:val="18"/>
              </w:rPr>
            </w:pPr>
            <w:r>
              <w:rPr>
                <w:rFonts w:hint="eastAsia" w:ascii="宋体" w:hAnsi="宋体" w:eastAsia="宋体" w:cs="宋体"/>
                <w:i w:val="0"/>
                <w:color w:val="000000"/>
                <w:kern w:val="0"/>
                <w:sz w:val="22"/>
                <w:szCs w:val="22"/>
                <w:u w:val="none"/>
                <w:lang w:val="en-US" w:eastAsia="zh-CN" w:bidi="ar"/>
              </w:rPr>
              <w:t>0.00</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Cs w:val="21"/>
              </w:rPr>
            </w:pPr>
          </w:p>
        </w:tc>
      </w:tr>
      <w:tr>
        <w:tblPrEx>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4,547.29</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4,547.29</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4,381.83</w:t>
            </w:r>
          </w:p>
        </w:tc>
        <w:tc>
          <w:tcPr>
            <w:tcW w:w="10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165.46</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w:t>
      </w:r>
      <w:r>
        <w:rPr>
          <w:rFonts w:hint="eastAsia" w:ascii="宋体" w:hAnsi="宋体" w:cs="宋体"/>
          <w:b/>
          <w:bCs/>
          <w:szCs w:val="21"/>
          <w:lang w:val="en-US" w:eastAsia="zh-CN"/>
        </w:rPr>
        <w:t>5</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4,381.83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181.51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181.51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4,200.32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4,348.70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171.38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color w:val="000000"/>
                <w:kern w:val="0"/>
                <w:sz w:val="22"/>
                <w:szCs w:val="22"/>
                <w:u w:val="none"/>
                <w:lang w:val="en-US" w:eastAsia="zh-CN" w:bidi="ar"/>
              </w:rPr>
              <w:t>171.38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4,177.32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民政管理事务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300.38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171.38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171.38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171.38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171.38</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171.38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2080206</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社会组织管理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行政区划和地名管理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2080208</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2080299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33.74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33.74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儿童福利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其他社会福利支出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30.74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30.74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99.21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2081107</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残疾人生活和护理补贴</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99.21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3,915.37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3,915.37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2089999</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3,915.37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3,915.37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公共卫生</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2100410</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31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49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181.51</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166.13</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b/>
                <w:color w:val="000000"/>
                <w:szCs w:val="21"/>
                <w:lang w:val="en-US"/>
              </w:rPr>
            </w:pPr>
            <w:r>
              <w:rPr>
                <w:rFonts w:hint="eastAsia" w:ascii="宋体" w:hAnsi="宋体" w:cs="宋体"/>
                <w:i w:val="0"/>
                <w:color w:val="000000"/>
                <w:kern w:val="0"/>
                <w:sz w:val="22"/>
                <w:szCs w:val="22"/>
                <w:u w:val="none"/>
                <w:lang w:val="en-US" w:eastAsia="zh-CN" w:bidi="ar"/>
              </w:rPr>
              <w:t>15.38</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166.13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166.13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48.32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48.32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39.68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39.68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31.23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31.23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6.51</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6.13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6.13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30114</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医疗费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15.38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1.82</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8.84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8.84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0.58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rPr>
          <w:rFonts w:hint="eastAsia" w:ascii="宋体" w:hAnsi="宋体" w:cs="宋体"/>
          <w:szCs w:val="21"/>
          <w:lang w:eastAsia="zh-CN"/>
        </w:rPr>
      </w:pPr>
      <w:r>
        <w:rPr>
          <w:rFonts w:hint="eastAsia" w:ascii="宋体" w:hAnsi="宋体" w:cs="宋体"/>
          <w:szCs w:val="21"/>
        </w:rPr>
        <w:t>注：本表反映部门本年度一般公共预算财政拨款“三公”经费、会议费、培训费的支出</w:t>
      </w:r>
      <w:r>
        <w:rPr>
          <w:rFonts w:hint="eastAsia" w:ascii="宋体" w:hAnsi="宋体" w:cs="宋体"/>
          <w:szCs w:val="21"/>
          <w:lang w:eastAsia="zh-CN"/>
        </w:rPr>
        <w:t>预决算情况</w:t>
      </w:r>
      <w:r>
        <w:rPr>
          <w:rFonts w:hint="eastAsia" w:ascii="宋体" w:hAnsi="宋体" w:cs="宋体"/>
          <w:szCs w:val="21"/>
        </w:rPr>
        <w:t>。</w:t>
      </w:r>
      <w:r>
        <w:rPr>
          <w:rFonts w:hint="eastAsia" w:ascii="宋体" w:hAnsi="宋体" w:cs="宋体"/>
          <w:szCs w:val="21"/>
          <w:lang w:eastAsia="zh-CN"/>
        </w:rPr>
        <w:t xml:space="preserve">其中，预算数为全年预算数，反映按规定程序调整后的预算数；决算数是包括当年一般公共预算财政拨款和以前年度结转资金安排的实际支出。 </w:t>
      </w:r>
      <w:r>
        <w:rPr>
          <w:rFonts w:hint="eastAsia" w:ascii="宋体" w:hAnsi="宋体" w:cs="宋体"/>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165.46</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165.46</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165.46</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165.46</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165.46</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165.46</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22908</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6.87</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6.87</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6.87</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2290804</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福利彩票销售机构的业务费支出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6.87</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6.87</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6.87</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22960</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彩票公益金安排的支出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158.59</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158.59</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158.59</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2296002</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141.59</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141.59</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141.59</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2296099</w:t>
            </w:r>
          </w:p>
        </w:tc>
        <w:tc>
          <w:tcPr>
            <w:tcW w:w="13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用于其他社会公益事业的彩票公益金支出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w:t>
            </w:r>
          </w:p>
        </w:tc>
        <w:tc>
          <w:tcPr>
            <w:tcW w:w="9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w:t>
            </w:r>
          </w:p>
        </w:tc>
        <w:tc>
          <w:tcPr>
            <w:tcW w:w="10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w:t>
            </w:r>
          </w:p>
        </w:tc>
        <w:tc>
          <w:tcPr>
            <w:tcW w:w="14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注：本表反映部门本年度政府性基金预算财政拨款收入</w:t>
      </w:r>
      <w:r>
        <w:rPr>
          <w:rFonts w:hint="eastAsia" w:ascii="宋体" w:hAnsi="宋体" w:cs="宋体"/>
          <w:szCs w:val="21"/>
          <w:lang w:eastAsia="zh-CN"/>
        </w:rPr>
        <w:t>、</w:t>
      </w:r>
      <w:r>
        <w:rPr>
          <w:rFonts w:hint="eastAsia" w:ascii="宋体" w:hAnsi="宋体" w:cs="宋体"/>
          <w:szCs w:val="21"/>
        </w:rPr>
        <w:t>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ascii="宋体" w:hAnsi="宋体" w:cs="宋体"/>
          <w:b/>
          <w:bCs/>
          <w:sz w:val="32"/>
          <w:szCs w:val="32"/>
        </w:rPr>
      </w:pPr>
      <w:r>
        <w:rPr>
          <w:rFonts w:hint="eastAsia" w:ascii="宋体" w:hAnsi="宋体" w:cs="宋体"/>
          <w:b/>
          <w:bCs/>
          <w:sz w:val="32"/>
          <w:szCs w:val="32"/>
          <w:lang w:eastAsia="zh-CN"/>
        </w:rPr>
        <w:t>国有资本经营</w:t>
      </w:r>
      <w:r>
        <w:rPr>
          <w:rFonts w:hint="eastAsia" w:ascii="宋体" w:hAnsi="宋体" w:cs="宋体"/>
          <w:b/>
          <w:bCs/>
          <w:sz w:val="32"/>
          <w:szCs w:val="32"/>
        </w:rPr>
        <w:t>预算财政拨款支出决算表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千阳县民政局</w:t>
      </w:r>
      <w:r>
        <w:rPr>
          <w:rFonts w:hint="eastAsia" w:ascii="宋体" w:hAnsi="宋体" w:cs="宋体"/>
          <w:b/>
          <w:bCs/>
          <w:szCs w:val="21"/>
        </w:rPr>
        <w:t xml:space="preserve">                                                金额单位：万元</w:t>
      </w:r>
    </w:p>
    <w:tbl>
      <w:tblPr>
        <w:tblStyle w:val="10"/>
        <w:tblW w:w="8873" w:type="dxa"/>
        <w:tblInd w:w="0" w:type="dxa"/>
        <w:tblLayout w:type="fixed"/>
        <w:tblCellMar>
          <w:top w:w="15" w:type="dxa"/>
          <w:left w:w="15" w:type="dxa"/>
          <w:bottom w:w="15" w:type="dxa"/>
          <w:right w:w="15" w:type="dxa"/>
        </w:tblCellMar>
      </w:tblPr>
      <w:tblGrid>
        <w:gridCol w:w="1672"/>
        <w:gridCol w:w="1870"/>
        <w:gridCol w:w="1523"/>
        <w:gridCol w:w="1881"/>
        <w:gridCol w:w="1927"/>
      </w:tblGrid>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keepNext w:val="0"/>
        <w:keepLines w:val="0"/>
        <w:widowControl/>
        <w:suppressLineNumbers w:val="0"/>
        <w:jc w:val="left"/>
        <w:rPr>
          <w:rFonts w:hint="eastAsia" w:ascii="宋体" w:hAnsi="宋体" w:cs="宋体"/>
          <w:szCs w:val="21"/>
        </w:rPr>
      </w:pPr>
    </w:p>
    <w:p>
      <w:pPr>
        <w:keepNext w:val="0"/>
        <w:keepLines w:val="0"/>
        <w:widowControl/>
        <w:suppressLineNumbers w:val="0"/>
        <w:jc w:val="left"/>
      </w:pPr>
      <w:r>
        <w:rPr>
          <w:rFonts w:hint="eastAsia" w:ascii="宋体" w:hAnsi="宋体" w:cs="宋体"/>
          <w:szCs w:val="21"/>
        </w:rPr>
        <w:t>注：本表反映部门本年度</w:t>
      </w:r>
      <w:r>
        <w:rPr>
          <w:rFonts w:hint="eastAsia" w:ascii="宋体" w:hAnsi="宋体" w:cs="宋体"/>
          <w:szCs w:val="21"/>
          <w:lang w:eastAsia="zh-CN"/>
        </w:rPr>
        <w:t>国有资本经营</w:t>
      </w:r>
      <w:r>
        <w:rPr>
          <w:rFonts w:hint="eastAsia" w:ascii="宋体" w:hAnsi="宋体" w:cs="宋体"/>
          <w:szCs w:val="21"/>
        </w:rPr>
        <w:t>预算财政拨款支出情况。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bidi="ar"/>
        </w:rPr>
        <w:t xml:space="preserve">第三部分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 xml:space="preserve"> 年部门决算情况</w:t>
      </w:r>
      <w:r>
        <w:rPr>
          <w:rFonts w:hint="eastAsia" w:ascii="方正小标宋简体" w:hAnsi="方正小标宋简体" w:eastAsia="方正小标宋简体" w:cs="方正小标宋简体"/>
          <w:color w:val="000000"/>
          <w:kern w:val="0"/>
          <w:sz w:val="44"/>
          <w:szCs w:val="44"/>
          <w:lang w:eastAsia="zh-CN" w:bidi="ar"/>
        </w:rPr>
        <w:t>说明</w:t>
      </w:r>
    </w:p>
    <w:p>
      <w:pPr>
        <w:keepNext w:val="0"/>
        <w:keepLines w:val="0"/>
        <w:pageBreakBefore w:val="0"/>
        <w:widowControl/>
        <w:kinsoku/>
        <w:wordWrap/>
        <w:overflowPunct/>
        <w:topLinePunct w:val="0"/>
        <w:autoSpaceDE/>
        <w:autoSpaceDN/>
        <w:bidi w:val="0"/>
        <w:spacing w:line="560" w:lineRule="exact"/>
        <w:textAlignment w:val="auto"/>
        <w:rPr>
          <w:rFonts w:ascii="黑体" w:hAnsi="宋体" w:eastAsia="黑体"/>
          <w:color w:val="000000"/>
          <w:kern w:val="0"/>
          <w:sz w:val="44"/>
          <w:szCs w:val="44"/>
          <w:lang w:bidi="ar"/>
        </w:rPr>
      </w:pPr>
    </w:p>
    <w:p>
      <w:pPr>
        <w:keepNext w:val="0"/>
        <w:keepLines w:val="0"/>
        <w:pageBreakBefore w:val="0"/>
        <w:widowControl/>
        <w:numPr>
          <w:ilvl w:val="0"/>
          <w:numId w:val="2"/>
        </w:numPr>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黑体" w:hAnsi="黑体" w:eastAsia="黑体"/>
          <w:color w:val="000000"/>
          <w:kern w:val="0"/>
          <w:sz w:val="32"/>
          <w:szCs w:val="32"/>
          <w:lang w:bidi="ar"/>
        </w:rPr>
        <w:t>收入支出决算总体情况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年度本年收入决算总计</w:t>
      </w:r>
      <w:r>
        <w:rPr>
          <w:rFonts w:hint="eastAsia" w:ascii="仿宋_GB2312" w:hAnsi="仿宋" w:eastAsia="仿宋_GB2312"/>
          <w:color w:val="auto"/>
          <w:sz w:val="32"/>
          <w:szCs w:val="32"/>
          <w:lang w:val="en-US" w:eastAsia="zh-CN"/>
        </w:rPr>
        <w:t>4547.68</w:t>
      </w:r>
      <w:r>
        <w:rPr>
          <w:rFonts w:hint="eastAsia" w:ascii="仿宋_GB2312" w:hAnsi="仿宋" w:eastAsia="仿宋_GB2312"/>
          <w:color w:val="auto"/>
          <w:sz w:val="32"/>
          <w:szCs w:val="32"/>
        </w:rPr>
        <w:t xml:space="preserve"> 万元（其中：上年结转结余 </w:t>
      </w:r>
      <w:r>
        <w:rPr>
          <w:rFonts w:hint="eastAsia" w:ascii="仿宋_GB2312" w:hAnsi="仿宋" w:eastAsia="仿宋_GB2312"/>
          <w:color w:val="auto"/>
          <w:sz w:val="32"/>
          <w:szCs w:val="32"/>
          <w:lang w:val="en-US" w:eastAsia="zh-CN"/>
        </w:rPr>
        <w:t>0.39</w:t>
      </w:r>
      <w:r>
        <w:rPr>
          <w:rFonts w:hint="eastAsia" w:ascii="仿宋_GB2312" w:hAnsi="仿宋" w:eastAsia="仿宋_GB2312"/>
          <w:color w:val="auto"/>
          <w:sz w:val="32"/>
          <w:szCs w:val="32"/>
        </w:rPr>
        <w:t>万元），较上年</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1515.09</w:t>
      </w:r>
      <w:r>
        <w:rPr>
          <w:rFonts w:hint="eastAsia" w:ascii="仿宋_GB2312" w:hAnsi="仿宋" w:eastAsia="仿宋_GB2312"/>
          <w:color w:val="auto"/>
          <w:sz w:val="32"/>
          <w:szCs w:val="32"/>
        </w:rPr>
        <w:t>万元,主要原因是20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中省下达城乡困难群众救助补助资金专项比20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年中省下达城乡困难群众救助补助资金专项</w:t>
      </w:r>
      <w:r>
        <w:rPr>
          <w:rFonts w:hint="eastAsia" w:ascii="仿宋_GB2312" w:hAnsi="仿宋" w:eastAsia="仿宋_GB2312"/>
          <w:sz w:val="32"/>
          <w:szCs w:val="32"/>
          <w:lang w:eastAsia="zh-CN"/>
        </w:rPr>
        <w:drawing>
          <wp:anchor distT="0" distB="0" distL="114300" distR="114300" simplePos="0" relativeHeight="251660288" behindDoc="0" locked="0" layoutInCell="1" allowOverlap="1">
            <wp:simplePos x="0" y="0"/>
            <wp:positionH relativeFrom="column">
              <wp:posOffset>204470</wp:posOffset>
            </wp:positionH>
            <wp:positionV relativeFrom="paragraph">
              <wp:posOffset>88265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 w:eastAsia="仿宋_GB2312"/>
          <w:color w:val="auto"/>
          <w:sz w:val="32"/>
          <w:szCs w:val="32"/>
          <w:lang w:val="en-US" w:eastAsia="zh-CN"/>
        </w:rPr>
        <w:t>减少。</w:t>
      </w:r>
    </w:p>
    <w:p>
      <w:pPr>
        <w:spacing w:line="360" w:lineRule="auto"/>
        <w:ind w:firstLine="720" w:firstLineChars="225"/>
        <w:rPr>
          <w:rFonts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 xml:space="preserve">年度本年支出决算总计 </w:t>
      </w:r>
      <w:r>
        <w:rPr>
          <w:rFonts w:hint="eastAsia" w:ascii="仿宋_GB2312" w:hAnsi="仿宋" w:eastAsia="仿宋_GB2312"/>
          <w:color w:val="auto"/>
          <w:sz w:val="32"/>
          <w:szCs w:val="32"/>
          <w:lang w:val="en-US" w:eastAsia="zh-CN"/>
        </w:rPr>
        <w:t>4547.68</w:t>
      </w:r>
      <w:r>
        <w:rPr>
          <w:rFonts w:hint="eastAsia" w:ascii="仿宋_GB2312" w:hAnsi="仿宋" w:eastAsia="仿宋_GB2312"/>
          <w:color w:val="auto"/>
          <w:sz w:val="32"/>
          <w:szCs w:val="32"/>
        </w:rPr>
        <w:t xml:space="preserve"> 万元（其中：年末结转结余 </w:t>
      </w:r>
      <w:r>
        <w:rPr>
          <w:rFonts w:hint="eastAsia" w:ascii="仿宋_GB2312" w:hAnsi="仿宋" w:eastAsia="仿宋_GB2312"/>
          <w:color w:val="auto"/>
          <w:sz w:val="32"/>
          <w:szCs w:val="32"/>
          <w:lang w:val="en-US" w:eastAsia="zh-CN"/>
        </w:rPr>
        <w:t>0.00</w:t>
      </w:r>
      <w:r>
        <w:rPr>
          <w:rFonts w:hint="eastAsia" w:ascii="仿宋_GB2312" w:hAnsi="仿宋" w:eastAsia="仿宋_GB2312"/>
          <w:color w:val="auto"/>
          <w:sz w:val="32"/>
          <w:szCs w:val="32"/>
        </w:rPr>
        <w:t>万元），较上年</w:t>
      </w:r>
      <w:r>
        <w:rPr>
          <w:rFonts w:hint="eastAsia" w:ascii="仿宋_GB2312" w:hAnsi="仿宋" w:eastAsia="仿宋_GB2312"/>
          <w:color w:val="auto"/>
          <w:sz w:val="32"/>
          <w:szCs w:val="32"/>
          <w:lang w:val="en-US" w:eastAsia="zh-CN"/>
        </w:rPr>
        <w:t>减少</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1515.09</w:t>
      </w:r>
      <w:r>
        <w:rPr>
          <w:rFonts w:hint="eastAsia" w:ascii="仿宋_GB2312" w:hAnsi="仿宋" w:eastAsia="仿宋_GB2312"/>
          <w:color w:val="auto"/>
          <w:sz w:val="32"/>
          <w:szCs w:val="32"/>
        </w:rPr>
        <w:t>万元,主要原因是20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全县</w:t>
      </w:r>
      <w:r>
        <w:rPr>
          <w:rFonts w:hint="eastAsia" w:ascii="仿宋_GB2312" w:hAnsi="仿宋" w:eastAsia="仿宋_GB2312"/>
          <w:color w:val="auto"/>
          <w:sz w:val="32"/>
          <w:szCs w:val="32"/>
        </w:rPr>
        <w:t>脱贫攻坚</w:t>
      </w:r>
      <w:r>
        <w:rPr>
          <w:rFonts w:hint="eastAsia" w:ascii="仿宋_GB2312" w:hAnsi="仿宋" w:eastAsia="仿宋_GB2312"/>
          <w:color w:val="auto"/>
          <w:sz w:val="32"/>
          <w:szCs w:val="32"/>
          <w:lang w:val="en-US" w:eastAsia="zh-CN"/>
        </w:rPr>
        <w:t>与乡村振兴有效衔接，</w:t>
      </w:r>
      <w:r>
        <w:rPr>
          <w:rFonts w:hint="eastAsia" w:ascii="仿宋_GB2312" w:hAnsi="仿宋" w:eastAsia="仿宋_GB2312"/>
          <w:color w:val="auto"/>
          <w:sz w:val="32"/>
          <w:szCs w:val="32"/>
        </w:rPr>
        <w:t>民政兜底保障城乡困难群众救助补助支出</w:t>
      </w:r>
      <w:r>
        <w:rPr>
          <w:rFonts w:hint="eastAsia" w:ascii="仿宋_GB2312" w:hAnsi="仿宋" w:eastAsia="仿宋_GB2312"/>
          <w:color w:val="auto"/>
          <w:sz w:val="32"/>
          <w:szCs w:val="32"/>
          <w:lang w:val="en-US" w:eastAsia="zh-CN"/>
        </w:rPr>
        <w:t>减少</w:t>
      </w:r>
      <w:r>
        <w:rPr>
          <w:rFonts w:hint="eastAsia" w:ascii="仿宋_GB2312" w:hAnsi="仿宋" w:eastAsia="仿宋_GB2312"/>
          <w:color w:val="auto"/>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anchor distT="0" distB="0" distL="114300" distR="114300" simplePos="0" relativeHeight="251661312" behindDoc="0" locked="0" layoutInCell="1" allowOverlap="1">
            <wp:simplePos x="0" y="0"/>
            <wp:positionH relativeFrom="column">
              <wp:posOffset>277495</wp:posOffset>
            </wp:positionH>
            <wp:positionV relativeFrom="paragraph">
              <wp:posOffset>62865</wp:posOffset>
            </wp:positionV>
            <wp:extent cx="5080000" cy="3810000"/>
            <wp:effectExtent l="4445" t="4445" r="8255" b="825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eastAsia="zh-CN"/>
        </w:rPr>
      </w:pPr>
      <w:r>
        <w:rPr>
          <w:rFonts w:hint="eastAsia" w:ascii="仿宋_GB2312" w:hAnsi="宋体" w:eastAsia="仿宋_GB2312" w:cs="仿宋_GB2312"/>
          <w:color w:val="000000"/>
          <w:kern w:val="0"/>
          <w:sz w:val="32"/>
          <w:szCs w:val="32"/>
          <w:lang w:eastAsia="zh-CN" w:bidi="ar"/>
        </w:rPr>
        <w:t>202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4547.29</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4547.29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事业收入0万元；经营收入0万元；</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numPr>
          <w:ilvl w:val="0"/>
          <w:numId w:val="0"/>
        </w:numPr>
        <w:kinsoku/>
        <w:wordWrap/>
        <w:overflowPunct/>
        <w:topLinePunct w:val="0"/>
        <w:autoSpaceDE/>
        <w:autoSpaceDN/>
        <w:bidi w:val="0"/>
        <w:spacing w:line="560" w:lineRule="exact"/>
        <w:ind w:left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三、</w:t>
      </w:r>
      <w:r>
        <w:rPr>
          <w:rFonts w:hint="eastAsia" w:ascii="黑体" w:hAnsi="黑体" w:eastAsia="黑体"/>
          <w:color w:val="000000"/>
          <w:kern w:val="0"/>
          <w:sz w:val="32"/>
          <w:szCs w:val="32"/>
          <w:lang w:bidi="ar"/>
        </w:rPr>
        <w:t>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spacing w:line="560" w:lineRule="exact"/>
        <w:ind w:leftChars="200"/>
        <w:jc w:val="left"/>
        <w:textAlignment w:val="auto"/>
        <w:rPr>
          <w:rFonts w:hint="eastAsia" w:ascii="黑体" w:hAnsi="黑体" w:eastAsia="黑体"/>
          <w:color w:val="000000"/>
          <w:kern w:val="0"/>
          <w:sz w:val="32"/>
          <w:szCs w:val="32"/>
          <w:lang w:eastAsia="zh-CN" w:bidi="ar"/>
        </w:rPr>
      </w:pPr>
    </w:p>
    <w:p>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eastAsia="zh-CN" w:bidi="ar"/>
        </w:rPr>
      </w:pPr>
    </w:p>
    <w:p>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eastAsia="zh-CN" w:bidi="ar"/>
        </w:rPr>
      </w:pPr>
    </w:p>
    <w:p>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eastAsia="zh-CN" w:bidi="ar"/>
        </w:rPr>
      </w:pPr>
    </w:p>
    <w:p>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eastAsia="zh-CN" w:bidi="ar"/>
        </w:rPr>
      </w:pPr>
    </w:p>
    <w:p>
      <w:pPr>
        <w:keepNext w:val="0"/>
        <w:keepLines w:val="0"/>
        <w:pageBreakBefore w:val="0"/>
        <w:widowControl/>
        <w:numPr>
          <w:ilvl w:val="0"/>
          <w:numId w:val="0"/>
        </w:numPr>
        <w:kinsoku/>
        <w:wordWrap/>
        <w:overflowPunct/>
        <w:topLinePunct w:val="0"/>
        <w:autoSpaceDE/>
        <w:autoSpaceDN/>
        <w:bidi w:val="0"/>
        <w:spacing w:line="560" w:lineRule="exact"/>
        <w:jc w:val="left"/>
        <w:textAlignment w:val="auto"/>
        <w:rPr>
          <w:rFonts w:hint="eastAsia" w:ascii="黑体" w:hAnsi="黑体" w:eastAsia="黑体"/>
          <w:color w:val="000000"/>
          <w:kern w:val="0"/>
          <w:sz w:val="32"/>
          <w:szCs w:val="32"/>
          <w:lang w:eastAsia="zh-CN" w:bidi="ar"/>
        </w:rPr>
      </w:pPr>
      <w:r>
        <w:rPr>
          <w:rFonts w:hint="eastAsia" w:ascii="黑体" w:hAnsi="黑体" w:eastAsia="黑体"/>
          <w:color w:val="000000"/>
          <w:kern w:val="0"/>
          <w:sz w:val="32"/>
          <w:szCs w:val="32"/>
          <w:lang w:eastAsia="zh-CN" w:bidi="ar"/>
        </w:rPr>
        <w:drawing>
          <wp:anchor distT="0" distB="0" distL="114300" distR="114300" simplePos="0" relativeHeight="251662336" behindDoc="0" locked="0" layoutInCell="1" allowOverlap="1">
            <wp:simplePos x="0" y="0"/>
            <wp:positionH relativeFrom="column">
              <wp:posOffset>309245</wp:posOffset>
            </wp:positionH>
            <wp:positionV relativeFrom="paragraph">
              <wp:posOffset>-375920</wp:posOffset>
            </wp:positionV>
            <wp:extent cx="5051425" cy="3630295"/>
            <wp:effectExtent l="4445" t="4445" r="11430" b="2286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宋体" w:eastAsia="仿宋_GB2312" w:cs="仿宋_GB2312"/>
          <w:color w:val="000000"/>
          <w:kern w:val="0"/>
          <w:sz w:val="32"/>
          <w:szCs w:val="32"/>
          <w:lang w:eastAsia="zh-CN" w:bidi="ar"/>
        </w:rPr>
        <w:t>202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4547.68</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181.9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w:t>
      </w:r>
      <w:r>
        <w:rPr>
          <w:rFonts w:ascii="仿宋_GB2312" w:hAnsi="宋体" w:eastAsia="仿宋_GB2312" w:cs="仿宋_GB2312"/>
          <w:color w:val="000000"/>
          <w:kern w:val="0"/>
          <w:sz w:val="32"/>
          <w:szCs w:val="32"/>
          <w:lang w:bidi="ar"/>
        </w:rPr>
        <w:t>%；项目支</w:t>
      </w:r>
      <w:r>
        <w:rPr>
          <w:rFonts w:hint="eastAsia" w:ascii="仿宋_GB2312" w:hAnsi="宋体" w:eastAsia="仿宋_GB2312" w:cs="仿宋_GB2312"/>
          <w:color w:val="000000"/>
          <w:kern w:val="0"/>
          <w:sz w:val="32"/>
          <w:szCs w:val="32"/>
          <w:lang w:val="en-US" w:eastAsia="zh-CN" w:bidi="ar"/>
        </w:rPr>
        <w:t>,4365.78</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96</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spacing w:line="560" w:lineRule="exact"/>
        <w:ind w:leftChars="200"/>
        <w:jc w:val="left"/>
        <w:textAlignment w:val="auto"/>
        <w:rPr>
          <w:rFonts w:hint="eastAsia" w:ascii="黑体" w:hAnsi="黑体" w:eastAsia="黑体"/>
          <w:color w:val="000000"/>
          <w:kern w:val="0"/>
          <w:sz w:val="32"/>
          <w:szCs w:val="32"/>
          <w:lang w:bidi="ar"/>
        </w:rPr>
      </w:pPr>
      <w:r>
        <w:rPr>
          <w:rFonts w:hint="eastAsia" w:ascii="仿宋_GB2312" w:hAnsi="仿宋" w:eastAsia="仿宋_GB2312"/>
          <w:sz w:val="32"/>
          <w:szCs w:val="32"/>
          <w:lang w:eastAsia="zh-CN"/>
        </w:rPr>
        <w:drawing>
          <wp:anchor distT="0" distB="0" distL="114300" distR="114300" simplePos="0" relativeHeight="251663360" behindDoc="0" locked="0" layoutInCell="1" allowOverlap="1">
            <wp:simplePos x="0" y="0"/>
            <wp:positionH relativeFrom="column">
              <wp:posOffset>311150</wp:posOffset>
            </wp:positionH>
            <wp:positionV relativeFrom="paragraph">
              <wp:posOffset>437515</wp:posOffset>
            </wp:positionV>
            <wp:extent cx="5062220" cy="3352800"/>
            <wp:effectExtent l="4445" t="4445" r="1968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color w:val="000000"/>
          <w:kern w:val="0"/>
          <w:sz w:val="32"/>
          <w:szCs w:val="32"/>
          <w:lang w:eastAsia="zh-CN" w:bidi="ar"/>
        </w:rPr>
        <w:t>四、</w:t>
      </w:r>
      <w:r>
        <w:rPr>
          <w:rFonts w:hint="eastAsia" w:ascii="黑体" w:hAnsi="黑体" w:eastAsia="黑体"/>
          <w:color w:val="000000"/>
          <w:kern w:val="0"/>
          <w:sz w:val="32"/>
          <w:szCs w:val="32"/>
          <w:lang w:bidi="ar"/>
        </w:rPr>
        <w:t>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4547.29</w:t>
      </w:r>
      <w:r>
        <w:rPr>
          <w:rFonts w:hint="eastAsia" w:ascii="仿宋_GB2312" w:hAnsi="宋体" w:eastAsia="仿宋_GB2312" w:cs="仿宋_GB2312"/>
          <w:color w:val="000000"/>
          <w:kern w:val="0"/>
          <w:sz w:val="32"/>
          <w:szCs w:val="32"/>
          <w:lang w:val="en-US" w:eastAsia="zh-CN" w:bidi="ar"/>
        </w:rPr>
        <w:t>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1504.69</w:t>
      </w:r>
      <w:r>
        <w:rPr>
          <w:rFonts w:hint="eastAsia" w:ascii="仿宋_GB2312" w:hAnsi="宋体" w:eastAsia="仿宋_GB2312" w:cs="仿宋_GB2312"/>
          <w:color w:val="000000"/>
          <w:kern w:val="0"/>
          <w:sz w:val="32"/>
          <w:szCs w:val="32"/>
          <w:lang w:val="en-US" w:eastAsia="zh-CN" w:bidi="ar"/>
        </w:rPr>
        <w:t>万元</w:t>
      </w:r>
      <w:r>
        <w:rPr>
          <w:rFonts w:hint="eastAsia" w:ascii="仿宋_GB2312" w:hAnsi="仿宋" w:eastAsia="仿宋_GB2312"/>
          <w:sz w:val="32"/>
          <w:szCs w:val="32"/>
        </w:rPr>
        <w:t>，主要原因</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中省</w:t>
      </w:r>
      <w:r>
        <w:rPr>
          <w:rFonts w:hint="eastAsia" w:ascii="仿宋_GB2312" w:hAnsi="仿宋" w:eastAsia="仿宋_GB2312"/>
          <w:color w:val="auto"/>
          <w:sz w:val="32"/>
          <w:szCs w:val="32"/>
          <w:lang w:val="en-US" w:eastAsia="zh-CN"/>
        </w:rPr>
        <w:t>市</w:t>
      </w:r>
      <w:r>
        <w:rPr>
          <w:rFonts w:hint="eastAsia" w:ascii="仿宋_GB2312" w:hAnsi="仿宋" w:eastAsia="仿宋_GB2312"/>
          <w:color w:val="auto"/>
          <w:sz w:val="32"/>
          <w:szCs w:val="32"/>
        </w:rPr>
        <w:t>下达城乡困难群众救助补助资金专项比20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年中省</w:t>
      </w:r>
      <w:r>
        <w:rPr>
          <w:rFonts w:hint="eastAsia" w:ascii="仿宋_GB2312" w:hAnsi="仿宋" w:eastAsia="仿宋_GB2312"/>
          <w:color w:val="auto"/>
          <w:sz w:val="32"/>
          <w:szCs w:val="32"/>
          <w:lang w:val="en-US" w:eastAsia="zh-CN"/>
        </w:rPr>
        <w:t>市</w:t>
      </w:r>
      <w:r>
        <w:rPr>
          <w:rFonts w:hint="eastAsia" w:ascii="仿宋_GB2312" w:hAnsi="仿宋" w:eastAsia="仿宋_GB2312"/>
          <w:color w:val="auto"/>
          <w:sz w:val="32"/>
          <w:szCs w:val="32"/>
        </w:rPr>
        <w:t>下达城乡困难群众救助补助资金专项</w:t>
      </w:r>
      <w:r>
        <w:rPr>
          <w:rFonts w:hint="eastAsia" w:ascii="仿宋_GB2312" w:hAnsi="仿宋" w:eastAsia="仿宋_GB2312"/>
          <w:color w:val="auto"/>
          <w:sz w:val="32"/>
          <w:szCs w:val="32"/>
          <w:lang w:val="en-US" w:eastAsia="zh-CN"/>
        </w:rPr>
        <w:t>减少。</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w:t>
      </w:r>
      <w:r>
        <w:rPr>
          <w:rFonts w:hint="eastAsia" w:ascii="仿宋_GB2312" w:hAnsi="仿宋" w:eastAsia="仿宋_GB2312"/>
          <w:sz w:val="32"/>
          <w:szCs w:val="32"/>
          <w:lang w:val="en-US" w:eastAsia="zh-CN"/>
        </w:rPr>
        <w:t>出4547.29</w:t>
      </w:r>
      <w:r>
        <w:rPr>
          <w:rFonts w:hint="eastAsia" w:ascii="仿宋_GB2312" w:hAnsi="宋体" w:eastAsia="仿宋_GB2312" w:cs="仿宋_GB2312"/>
          <w:color w:val="000000"/>
          <w:kern w:val="0"/>
          <w:sz w:val="32"/>
          <w:szCs w:val="32"/>
          <w:lang w:val="en-US" w:eastAsia="zh-CN" w:bidi="ar"/>
        </w:rPr>
        <w:t>万元，</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1504.69</w:t>
      </w:r>
      <w:r>
        <w:rPr>
          <w:rFonts w:hint="eastAsia" w:ascii="仿宋_GB2312" w:hAnsi="宋体" w:eastAsia="仿宋_GB2312" w:cs="仿宋_GB2312"/>
          <w:color w:val="000000"/>
          <w:kern w:val="0"/>
          <w:sz w:val="32"/>
          <w:szCs w:val="32"/>
          <w:lang w:val="en-US" w:eastAsia="zh-CN" w:bidi="ar"/>
        </w:rPr>
        <w:t>万元，</w:t>
      </w:r>
      <w:r>
        <w:rPr>
          <w:rFonts w:hint="eastAsia" w:ascii="仿宋_GB2312" w:hAnsi="仿宋" w:eastAsia="仿宋_GB2312"/>
          <w:sz w:val="32"/>
          <w:szCs w:val="32"/>
        </w:rPr>
        <w:t>主要原因</w:t>
      </w:r>
      <w:r>
        <w:rPr>
          <w:rFonts w:hint="eastAsia" w:ascii="仿宋_GB2312" w:hAnsi="仿宋" w:eastAsia="仿宋_GB2312"/>
          <w:color w:val="auto"/>
          <w:sz w:val="32"/>
          <w:szCs w:val="32"/>
        </w:rPr>
        <w:t>是20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全县</w:t>
      </w:r>
      <w:r>
        <w:rPr>
          <w:rFonts w:hint="eastAsia" w:ascii="仿宋_GB2312" w:hAnsi="仿宋" w:eastAsia="仿宋_GB2312"/>
          <w:color w:val="auto"/>
          <w:sz w:val="32"/>
          <w:szCs w:val="32"/>
        </w:rPr>
        <w:t>脱贫攻坚</w:t>
      </w:r>
      <w:r>
        <w:rPr>
          <w:rFonts w:hint="eastAsia" w:ascii="仿宋_GB2312" w:hAnsi="仿宋" w:eastAsia="仿宋_GB2312"/>
          <w:color w:val="auto"/>
          <w:sz w:val="32"/>
          <w:szCs w:val="32"/>
          <w:lang w:val="en-US" w:eastAsia="zh-CN"/>
        </w:rPr>
        <w:t>与乡村振兴有效衔接，</w:t>
      </w:r>
      <w:r>
        <w:rPr>
          <w:rFonts w:hint="eastAsia" w:ascii="仿宋_GB2312" w:hAnsi="仿宋" w:eastAsia="仿宋_GB2312"/>
          <w:color w:val="auto"/>
          <w:sz w:val="32"/>
          <w:szCs w:val="32"/>
        </w:rPr>
        <w:t>民政兜底保障城乡困难群众救助补助支出</w:t>
      </w:r>
      <w:r>
        <w:rPr>
          <w:rFonts w:hint="eastAsia" w:ascii="仿宋_GB2312" w:hAnsi="仿宋" w:eastAsia="仿宋_GB2312"/>
          <w:color w:val="auto"/>
          <w:sz w:val="32"/>
          <w:szCs w:val="32"/>
          <w:lang w:val="en-US" w:eastAsia="zh-CN"/>
        </w:rPr>
        <w:t>减少</w:t>
      </w:r>
      <w:r>
        <w:rPr>
          <w:rFonts w:hint="eastAsia" w:ascii="仿宋_GB2312" w:hAnsi="仿宋" w:eastAsia="仿宋_GB2312"/>
          <w:color w:val="auto"/>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宋体" w:eastAsia="仿宋_GB2312" w:cs="仿宋_GB2312"/>
          <w:color w:val="000000"/>
          <w:kern w:val="0"/>
          <w:sz w:val="32"/>
          <w:szCs w:val="32"/>
          <w:lang w:eastAsia="zh-CN" w:bidi="ar"/>
        </w:rPr>
        <w:t>202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 xml:space="preserve"> 年财政拨款支出</w:t>
      </w:r>
      <w:r>
        <w:rPr>
          <w:rFonts w:hint="eastAsia" w:ascii="仿宋_GB2312" w:hAnsi="宋体" w:eastAsia="仿宋_GB2312" w:cs="仿宋_GB2312"/>
          <w:color w:val="000000"/>
          <w:kern w:val="0"/>
          <w:sz w:val="32"/>
          <w:szCs w:val="32"/>
          <w:lang w:val="en-US" w:eastAsia="zh-CN" w:bidi="ar"/>
        </w:rPr>
        <w:t>4381.83</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96.35</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1321.54</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23.17</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w:t>
      </w:r>
      <w:r>
        <w:rPr>
          <w:rFonts w:hint="eastAsia" w:ascii="仿宋_GB2312" w:hAnsi="仿宋" w:eastAsia="仿宋_GB2312"/>
          <w:color w:val="auto"/>
          <w:sz w:val="32"/>
          <w:szCs w:val="32"/>
        </w:rPr>
        <w:t>是20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全县</w:t>
      </w:r>
      <w:r>
        <w:rPr>
          <w:rFonts w:hint="eastAsia" w:ascii="仿宋_GB2312" w:hAnsi="仿宋" w:eastAsia="仿宋_GB2312"/>
          <w:color w:val="auto"/>
          <w:sz w:val="32"/>
          <w:szCs w:val="32"/>
        </w:rPr>
        <w:t>脱贫攻坚</w:t>
      </w:r>
      <w:r>
        <w:rPr>
          <w:rFonts w:hint="eastAsia" w:ascii="仿宋_GB2312" w:hAnsi="仿宋" w:eastAsia="仿宋_GB2312"/>
          <w:color w:val="auto"/>
          <w:sz w:val="32"/>
          <w:szCs w:val="32"/>
          <w:lang w:val="en-US" w:eastAsia="zh-CN"/>
        </w:rPr>
        <w:t>与乡村振兴有效衔接，</w:t>
      </w:r>
      <w:r>
        <w:rPr>
          <w:rFonts w:hint="eastAsia" w:ascii="仿宋_GB2312" w:hAnsi="仿宋" w:eastAsia="仿宋_GB2312"/>
          <w:color w:val="auto"/>
          <w:sz w:val="32"/>
          <w:szCs w:val="32"/>
        </w:rPr>
        <w:t>民政兜底保障城乡困难群众救助补助支出</w:t>
      </w:r>
      <w:r>
        <w:rPr>
          <w:rFonts w:hint="eastAsia" w:ascii="仿宋_GB2312" w:hAnsi="仿宋" w:eastAsia="仿宋_GB2312"/>
          <w:color w:val="auto"/>
          <w:sz w:val="32"/>
          <w:szCs w:val="32"/>
          <w:lang w:val="en-US" w:eastAsia="zh-CN"/>
        </w:rPr>
        <w:t>减少</w:t>
      </w:r>
      <w:r>
        <w:rPr>
          <w:rFonts w:hint="eastAsia" w:ascii="仿宋_GB2312" w:hAnsi="仿宋" w:eastAsia="仿宋_GB2312"/>
          <w:color w:val="auto"/>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 xml:space="preserve"> 年财政拨款支出预算为</w:t>
      </w:r>
      <w:r>
        <w:rPr>
          <w:rFonts w:hint="eastAsia" w:ascii="仿宋_GB2312" w:hAnsi="宋体" w:eastAsia="仿宋_GB2312" w:cs="仿宋_GB2312"/>
          <w:color w:val="000000"/>
          <w:kern w:val="0"/>
          <w:sz w:val="32"/>
          <w:szCs w:val="32"/>
          <w:lang w:val="en-US" w:eastAsia="zh-CN" w:bidi="ar"/>
        </w:rPr>
        <w:t>4381.83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4381.83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民政管理事务</w:t>
      </w:r>
      <w:r>
        <w:rPr>
          <w:rFonts w:ascii="仿宋_GB2312" w:hAnsi="宋体" w:eastAsia="仿宋_GB2312" w:cs="仿宋_GB2312"/>
          <w:b/>
          <w:color w:val="000000"/>
          <w:kern w:val="0"/>
          <w:sz w:val="32"/>
          <w:szCs w:val="32"/>
          <w:lang w:bidi="ar"/>
        </w:rPr>
        <w:t xml:space="preserve">（款）行政运行（项）。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171.38</w:t>
      </w:r>
      <w:r>
        <w:rPr>
          <w:rFonts w:ascii="仿宋_GB2312" w:hAnsi="宋体" w:eastAsia="仿宋_GB2312" w:cs="仿宋_GB2312"/>
          <w:color w:val="000000"/>
          <w:kern w:val="0"/>
          <w:sz w:val="32"/>
          <w:szCs w:val="32"/>
          <w:lang w:bidi="ar"/>
        </w:rPr>
        <w:t>万元，支出决算</w:t>
      </w:r>
      <w:r>
        <w:rPr>
          <w:rFonts w:hint="eastAsia" w:ascii="仿宋_GB2312" w:hAnsi="宋体" w:eastAsia="仿宋_GB2312" w:cs="仿宋_GB2312"/>
          <w:color w:val="000000"/>
          <w:kern w:val="0"/>
          <w:sz w:val="32"/>
          <w:szCs w:val="32"/>
          <w:lang w:val="en-US" w:eastAsia="zh-CN" w:bidi="ar"/>
        </w:rPr>
        <w:t>,171.38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ascii="仿宋_GB2312" w:hAnsi="宋体" w:eastAsia="仿宋_GB2312" w:cs="仿宋_GB2312"/>
          <w:b/>
          <w:bCs/>
          <w:color w:val="000000"/>
          <w:kern w:val="0"/>
          <w:sz w:val="32"/>
          <w:szCs w:val="32"/>
          <w:lang w:bidi="ar"/>
        </w:rPr>
        <w:t>2.</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民政管理事务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一般行政管理事务</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3</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民政管理事务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社会组织管理</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4</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民政管理事务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行政区划和地名管理</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5</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民政管理事务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基层政权建设和社区治理</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6</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民政管理事务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其他民政管理事务支出</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7</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社会福利</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儿童</w:t>
      </w:r>
      <w:r>
        <w:rPr>
          <w:rFonts w:hint="eastAsia" w:ascii="仿宋_GB2312" w:hAnsi="宋体" w:eastAsia="仿宋_GB2312" w:cs="仿宋_GB2312"/>
          <w:b/>
          <w:color w:val="000000"/>
          <w:kern w:val="0"/>
          <w:sz w:val="32"/>
          <w:szCs w:val="32"/>
          <w:lang w:bidi="ar"/>
        </w:rPr>
        <w:t>福利</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8</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社会福利</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其他社会福利支出</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30.74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30.74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9</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残疾人事业</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残疾人生活和护理补贴</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99.21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99.21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10</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其他社会保障和就业支出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其他社会保障和就业支出</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3915.37</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3915.37</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11</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bidi="ar"/>
        </w:rPr>
        <w:t>卫生健康支出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bidi="ar"/>
        </w:rPr>
        <w:t>公共卫生</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bidi="ar"/>
        </w:rPr>
        <w:t>突发公共卫生事件应急处理</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b/>
          <w:bCs/>
          <w:color w:val="000000"/>
          <w:kern w:val="0"/>
          <w:sz w:val="32"/>
          <w:szCs w:val="32"/>
          <w:lang w:val="en-US" w:eastAsia="zh-CN" w:bidi="ar"/>
        </w:rPr>
        <w:t>12</w:t>
      </w:r>
      <w:r>
        <w:rPr>
          <w:rFonts w:ascii="仿宋_GB2312" w:hAnsi="宋体" w:eastAsia="仿宋_GB2312" w:cs="仿宋_GB2312"/>
          <w:b/>
          <w:bCs/>
          <w:color w:val="000000"/>
          <w:kern w:val="0"/>
          <w:sz w:val="32"/>
          <w:szCs w:val="32"/>
          <w:lang w:bidi="ar"/>
        </w:rPr>
        <w:t>.</w:t>
      </w:r>
      <w:r>
        <w:rPr>
          <w:rFonts w:hint="eastAsia" w:ascii="仿宋_GB2312" w:hAnsi="宋体" w:eastAsia="仿宋_GB2312" w:cs="仿宋_GB2312"/>
          <w:b/>
          <w:color w:val="000000"/>
          <w:kern w:val="0"/>
          <w:sz w:val="32"/>
          <w:szCs w:val="32"/>
          <w:lang w:val="en-US" w:eastAsia="zh-CN" w:bidi="ar"/>
        </w:rPr>
        <w:t>住房保障</w:t>
      </w:r>
      <w:r>
        <w:rPr>
          <w:rFonts w:hint="eastAsia" w:ascii="仿宋_GB2312" w:hAnsi="宋体" w:eastAsia="仿宋_GB2312" w:cs="仿宋_GB2312"/>
          <w:b/>
          <w:color w:val="000000"/>
          <w:kern w:val="0"/>
          <w:sz w:val="32"/>
          <w:szCs w:val="32"/>
          <w:lang w:bidi="ar"/>
        </w:rPr>
        <w:t>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住房改革支出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住房公积金</w:t>
      </w:r>
      <w:r>
        <w:rPr>
          <w:rFonts w:ascii="仿宋_GB2312" w:hAnsi="宋体" w:eastAsia="仿宋_GB2312" w:cs="仿宋_GB2312"/>
          <w:b/>
          <w:color w:val="000000"/>
          <w:kern w:val="0"/>
          <w:sz w:val="32"/>
          <w:szCs w:val="32"/>
          <w:lang w:bidi="ar"/>
        </w:rPr>
        <w:t xml:space="preserve">（项）。 </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10.13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10.13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181.51</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166.13</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15.38</w:t>
      </w:r>
      <w:r>
        <w:rPr>
          <w:rFonts w:ascii="仿宋_GB2312" w:hAnsi="仿宋_GB2312" w:eastAsia="仿宋_GB2312" w:cs="仿宋_GB2312"/>
          <w:color w:val="000000"/>
          <w:kern w:val="0"/>
          <w:sz w:val="31"/>
          <w:szCs w:val="31"/>
          <w:lang w:bidi="ar"/>
        </w:rPr>
        <w:t>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181.51</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48.32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39.68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、奖金</w:t>
      </w:r>
      <w:r>
        <w:rPr>
          <w:rFonts w:hint="eastAsia" w:ascii="仿宋_GB2312" w:hAnsi="宋体" w:eastAsia="仿宋_GB2312" w:cs="仿宋_GB2312"/>
          <w:color w:val="000000"/>
          <w:kern w:val="0"/>
          <w:sz w:val="32"/>
          <w:szCs w:val="32"/>
          <w:lang w:val="en-US" w:eastAsia="zh-CN" w:bidi="ar"/>
        </w:rPr>
        <w:t>31.23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、机关事业单位基本养老保险缴费</w:t>
      </w:r>
      <w:r>
        <w:rPr>
          <w:rFonts w:hint="eastAsia" w:ascii="仿宋_GB2312" w:hAnsi="宋体" w:eastAsia="仿宋_GB2312" w:cs="仿宋_GB2312"/>
          <w:color w:val="000000"/>
          <w:kern w:val="0"/>
          <w:sz w:val="32"/>
          <w:szCs w:val="32"/>
          <w:lang w:val="en-US" w:eastAsia="zh-CN" w:bidi="ar"/>
        </w:rPr>
        <w:t>12.96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 职业年金缴费</w:t>
      </w:r>
      <w:r>
        <w:rPr>
          <w:rFonts w:hint="eastAsia" w:ascii="仿宋_GB2312" w:hAnsi="宋体" w:eastAsia="仿宋_GB2312" w:cs="仿宋_GB2312"/>
          <w:color w:val="000000"/>
          <w:kern w:val="0"/>
          <w:sz w:val="32"/>
          <w:szCs w:val="32"/>
          <w:lang w:val="en-US" w:eastAsia="zh-CN" w:bidi="ar"/>
        </w:rPr>
        <w:t>6.51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、职工基本医疗保险缴费</w:t>
      </w:r>
      <w:r>
        <w:rPr>
          <w:rFonts w:hint="eastAsia" w:ascii="仿宋_GB2312" w:hAnsi="宋体" w:eastAsia="仿宋_GB2312" w:cs="仿宋_GB2312"/>
          <w:color w:val="000000"/>
          <w:kern w:val="0"/>
          <w:sz w:val="32"/>
          <w:szCs w:val="32"/>
          <w:lang w:val="en-US" w:eastAsia="zh-CN" w:bidi="ar"/>
        </w:rPr>
        <w:t>3.78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、公务员医疗补助缴费</w:t>
      </w:r>
      <w:r>
        <w:rPr>
          <w:rFonts w:hint="eastAsia" w:ascii="仿宋_GB2312" w:hAnsi="宋体" w:eastAsia="仿宋_GB2312" w:cs="仿宋_GB2312"/>
          <w:color w:val="000000"/>
          <w:kern w:val="0"/>
          <w:sz w:val="32"/>
          <w:szCs w:val="32"/>
          <w:lang w:val="en-US" w:eastAsia="zh-CN" w:bidi="ar"/>
        </w:rPr>
        <w:t>3.78</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 其他社会保障缴费</w:t>
      </w:r>
      <w:r>
        <w:rPr>
          <w:rFonts w:hint="eastAsia" w:ascii="仿宋_GB2312" w:hAnsi="宋体" w:eastAsia="仿宋_GB2312" w:cs="仿宋_GB2312"/>
          <w:color w:val="000000"/>
          <w:kern w:val="0"/>
          <w:sz w:val="32"/>
          <w:szCs w:val="32"/>
          <w:lang w:val="en-US" w:eastAsia="zh-CN" w:bidi="ar"/>
        </w:rPr>
        <w:t>6.13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 住房公积金</w:t>
      </w:r>
      <w:r>
        <w:rPr>
          <w:rFonts w:hint="eastAsia" w:ascii="仿宋_GB2312" w:hAnsi="宋体" w:eastAsia="仿宋_GB2312" w:cs="仿宋_GB2312"/>
          <w:color w:val="000000"/>
          <w:kern w:val="0"/>
          <w:sz w:val="32"/>
          <w:szCs w:val="32"/>
          <w:lang w:val="en-US" w:eastAsia="zh-CN" w:bidi="ar"/>
        </w:rPr>
        <w:t>10.13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、医疗费</w:t>
      </w:r>
      <w:r>
        <w:rPr>
          <w:rFonts w:hint="eastAsia" w:ascii="仿宋_GB2312" w:hAnsi="宋体" w:eastAsia="仿宋_GB2312" w:cs="仿宋_GB2312"/>
          <w:color w:val="000000"/>
          <w:kern w:val="0"/>
          <w:sz w:val="32"/>
          <w:szCs w:val="32"/>
          <w:lang w:val="en-US" w:eastAsia="zh-CN" w:bidi="ar"/>
        </w:rPr>
        <w:t>3.62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default" w:eastAsia="仿宋_GB2312"/>
          <w:lang w:val="en-US" w:eastAsia="zh-CN"/>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15.38</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办公费1.82万元，印刷费0.61万元，水费0.1万元，</w:t>
      </w:r>
      <w:r>
        <w:rPr>
          <w:rFonts w:hint="eastAsia" w:ascii="仿宋_GB2312" w:hAnsi="宋体" w:eastAsia="仿宋_GB2312" w:cs="仿宋_GB2312"/>
          <w:color w:val="000000"/>
          <w:kern w:val="0"/>
          <w:sz w:val="32"/>
          <w:szCs w:val="32"/>
          <w:lang w:bidi="ar"/>
        </w:rPr>
        <w:t>公务接待费</w:t>
      </w:r>
      <w:r>
        <w:rPr>
          <w:rFonts w:hint="eastAsia" w:ascii="仿宋_GB2312" w:hAnsi="宋体" w:eastAsia="仿宋_GB2312" w:cs="仿宋_GB2312"/>
          <w:color w:val="000000"/>
          <w:kern w:val="0"/>
          <w:sz w:val="32"/>
          <w:szCs w:val="32"/>
          <w:lang w:val="en-US" w:eastAsia="zh-CN" w:bidi="ar"/>
        </w:rPr>
        <w:t>1.4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工会经费</w:t>
      </w:r>
      <w:r>
        <w:rPr>
          <w:rFonts w:hint="eastAsia" w:ascii="仿宋_GB2312" w:hAnsi="宋体" w:eastAsia="仿宋_GB2312" w:cs="仿宋_GB2312"/>
          <w:color w:val="000000"/>
          <w:kern w:val="0"/>
          <w:sz w:val="32"/>
          <w:szCs w:val="32"/>
          <w:lang w:val="en-US" w:eastAsia="zh-CN" w:bidi="ar"/>
        </w:rPr>
        <w:t>2.13</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其他交通费用</w:t>
      </w:r>
      <w:r>
        <w:rPr>
          <w:rFonts w:hint="eastAsia" w:ascii="仿宋_GB2312" w:hAnsi="宋体" w:eastAsia="仿宋_GB2312" w:cs="仿宋_GB2312"/>
          <w:color w:val="000000"/>
          <w:kern w:val="0"/>
          <w:sz w:val="32"/>
          <w:szCs w:val="32"/>
          <w:lang w:val="en-US" w:eastAsia="zh-CN" w:bidi="ar"/>
        </w:rPr>
        <w:t>8.84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其他商品和服务支出0.58万元。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1.4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w:t>
      </w:r>
      <w:r>
        <w:rPr>
          <w:rFonts w:hint="eastAsia" w:ascii="仿宋_GB2312" w:hAnsi="宋体" w:eastAsia="仿宋_GB2312" w:cs="仿宋_GB2312"/>
          <w:color w:val="000000"/>
          <w:kern w:val="0"/>
          <w:sz w:val="32"/>
          <w:szCs w:val="32"/>
          <w:lang w:val="en-US" w:eastAsia="zh-CN" w:bidi="ar"/>
        </w:rPr>
        <w:t>1</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1.4</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eastAsia="仿宋_GB2312"/>
          <w:lang w:val="en-US" w:eastAsia="zh-CN"/>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85</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1.4</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960" w:firstLineChars="300"/>
        <w:rPr>
          <w:rFonts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年政府性基金拨款收入</w:t>
      </w:r>
      <w:r>
        <w:rPr>
          <w:rFonts w:hint="eastAsia" w:ascii="仿宋_GB2312" w:eastAsia="仿宋_GB2312"/>
          <w:color w:val="auto"/>
          <w:sz w:val="32"/>
          <w:szCs w:val="32"/>
          <w:lang w:val="en-US" w:eastAsia="zh-CN"/>
        </w:rPr>
        <w:t>165.46</w:t>
      </w:r>
      <w:r>
        <w:rPr>
          <w:rFonts w:hint="eastAsia" w:ascii="仿宋_GB2312" w:eastAsia="仿宋_GB2312"/>
          <w:color w:val="auto"/>
          <w:sz w:val="32"/>
          <w:szCs w:val="32"/>
        </w:rPr>
        <w:t>万元，支出</w:t>
      </w:r>
      <w:r>
        <w:rPr>
          <w:rFonts w:hint="eastAsia" w:ascii="仿宋_GB2312" w:eastAsia="仿宋_GB2312"/>
          <w:color w:val="auto"/>
          <w:sz w:val="32"/>
          <w:szCs w:val="32"/>
          <w:lang w:val="en-US" w:eastAsia="zh-CN"/>
        </w:rPr>
        <w:t>165.46</w:t>
      </w:r>
      <w:r>
        <w:rPr>
          <w:rFonts w:hint="eastAsia" w:ascii="仿宋_GB2312" w:eastAsia="仿宋_GB2312"/>
          <w:color w:val="auto"/>
          <w:sz w:val="32"/>
          <w:szCs w:val="32"/>
        </w:rPr>
        <w:t>万元，主要用于</w:t>
      </w:r>
      <w:r>
        <w:rPr>
          <w:rFonts w:hint="eastAsia" w:ascii="仿宋_GB2312" w:eastAsia="仿宋_GB2312"/>
          <w:color w:val="auto"/>
          <w:sz w:val="32"/>
          <w:szCs w:val="32"/>
          <w:lang w:val="en-US" w:eastAsia="zh-CN"/>
        </w:rPr>
        <w:t>儿童福利、</w:t>
      </w:r>
      <w:r>
        <w:rPr>
          <w:rFonts w:hint="eastAsia" w:ascii="仿宋_GB2312" w:eastAsia="仿宋_GB2312"/>
          <w:color w:val="auto"/>
          <w:sz w:val="32"/>
          <w:szCs w:val="32"/>
        </w:rPr>
        <w:t>农村幸福互助院“以奖代补”、贫困家庭大学生入学补助、城乡社区、农村公益性公墓、社会福利机构补助支出。</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十、机关运行经费支出情况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202</w:t>
      </w: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15.38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15.38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十一、</w:t>
      </w:r>
      <w:r>
        <w:rPr>
          <w:rFonts w:hint="eastAsia" w:ascii="黑体" w:hAnsi="黑体" w:eastAsia="黑体"/>
          <w:color w:val="000000"/>
          <w:kern w:val="0"/>
          <w:sz w:val="32"/>
          <w:szCs w:val="32"/>
          <w:lang w:bidi="ar"/>
        </w:rPr>
        <w:t>政府采购支出情况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其中公务用车保有0量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其中公务用车</w:t>
      </w:r>
      <w:r>
        <w:rPr>
          <w:rFonts w:hint="eastAsia" w:ascii="仿宋_GB2312" w:hAnsi="仿宋_GB2312" w:eastAsia="仿宋_GB2312" w:cs="仿宋_GB2312"/>
          <w:sz w:val="32"/>
          <w:szCs w:val="32"/>
        </w:rPr>
        <w:t>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rPr>
        <w:t>根据预算绩效管理要求，本部门组织对 202</w:t>
      </w:r>
      <w:r>
        <w:rPr>
          <w:rFonts w:hint="eastAsia" w:ascii="仿宋" w:hAnsi="仿宋" w:eastAsia="仿宋" w:cs="仿宋"/>
          <w:sz w:val="32"/>
          <w:szCs w:val="40"/>
          <w:lang w:val="en-US" w:eastAsia="zh-CN"/>
        </w:rPr>
        <w:t>1</w:t>
      </w:r>
      <w:r>
        <w:rPr>
          <w:rFonts w:hint="eastAsia" w:ascii="仿宋" w:hAnsi="仿宋" w:eastAsia="仿宋" w:cs="仿宋"/>
          <w:sz w:val="32"/>
          <w:szCs w:val="40"/>
        </w:rPr>
        <w:t>年一般公共预算项目支出全面开展绩效自评，其中，一级项目</w:t>
      </w:r>
      <w:r>
        <w:rPr>
          <w:rFonts w:hint="eastAsia" w:ascii="仿宋" w:hAnsi="仿宋" w:eastAsia="仿宋" w:cs="仿宋"/>
          <w:sz w:val="32"/>
          <w:szCs w:val="40"/>
          <w:lang w:val="en-US" w:eastAsia="zh-CN"/>
        </w:rPr>
        <w:t>4</w:t>
      </w:r>
      <w:r>
        <w:rPr>
          <w:rFonts w:hint="eastAsia" w:ascii="仿宋" w:hAnsi="仿宋" w:eastAsia="仿宋" w:cs="仿宋"/>
          <w:sz w:val="32"/>
          <w:szCs w:val="40"/>
        </w:rPr>
        <w:t>个，二级项目</w:t>
      </w:r>
      <w:r>
        <w:rPr>
          <w:rFonts w:hint="eastAsia" w:ascii="仿宋" w:hAnsi="仿宋" w:eastAsia="仿宋" w:cs="仿宋"/>
          <w:sz w:val="32"/>
          <w:szCs w:val="40"/>
          <w:lang w:val="en-US" w:eastAsia="zh-CN"/>
        </w:rPr>
        <w:t>0</w:t>
      </w:r>
      <w:r>
        <w:rPr>
          <w:rFonts w:hint="eastAsia" w:ascii="仿宋" w:hAnsi="仿宋" w:eastAsia="仿宋" w:cs="仿宋"/>
          <w:sz w:val="32"/>
          <w:szCs w:val="40"/>
        </w:rPr>
        <w:t>个，共涉及资金</w:t>
      </w:r>
      <w:r>
        <w:rPr>
          <w:rFonts w:hint="eastAsia" w:ascii="仿宋" w:hAnsi="仿宋" w:eastAsia="仿宋" w:cs="仿宋"/>
          <w:sz w:val="32"/>
          <w:szCs w:val="40"/>
          <w:lang w:val="en-US" w:eastAsia="zh-CN"/>
        </w:rPr>
        <w:t>4200.32</w:t>
      </w:r>
      <w:r>
        <w:rPr>
          <w:rFonts w:hint="eastAsia" w:ascii="仿宋" w:hAnsi="仿宋" w:eastAsia="仿宋" w:cs="仿宋"/>
          <w:sz w:val="32"/>
          <w:szCs w:val="40"/>
        </w:rPr>
        <w:t>万元，占一般公共预算项目支出总额的</w:t>
      </w:r>
      <w:r>
        <w:rPr>
          <w:rFonts w:hint="eastAsia" w:ascii="仿宋" w:hAnsi="仿宋" w:eastAsia="仿宋" w:cs="仿宋"/>
          <w:sz w:val="32"/>
          <w:szCs w:val="40"/>
          <w:lang w:val="en-US" w:eastAsia="zh-CN"/>
        </w:rPr>
        <w:t>100</w:t>
      </w:r>
      <w:r>
        <w:rPr>
          <w:rFonts w:hint="eastAsia" w:ascii="仿宋" w:hAnsi="仿宋" w:eastAsia="仿宋" w:cs="仿宋"/>
          <w:sz w:val="32"/>
          <w:szCs w:val="40"/>
        </w:rPr>
        <w:t>%。组织对 202</w:t>
      </w:r>
      <w:r>
        <w:rPr>
          <w:rFonts w:hint="eastAsia" w:ascii="仿宋" w:hAnsi="仿宋" w:eastAsia="仿宋" w:cs="仿宋"/>
          <w:sz w:val="32"/>
          <w:szCs w:val="40"/>
          <w:lang w:val="en-US" w:eastAsia="zh-CN"/>
        </w:rPr>
        <w:t>1</w:t>
      </w:r>
      <w:r>
        <w:rPr>
          <w:rFonts w:hint="eastAsia" w:ascii="仿宋" w:hAnsi="仿宋" w:eastAsia="仿宋" w:cs="仿宋"/>
          <w:sz w:val="32"/>
          <w:szCs w:val="40"/>
        </w:rPr>
        <w:t>年</w:t>
      </w:r>
      <w:r>
        <w:rPr>
          <w:rFonts w:hint="eastAsia" w:ascii="仿宋" w:hAnsi="仿宋" w:eastAsia="仿宋" w:cs="仿宋"/>
          <w:sz w:val="32"/>
          <w:szCs w:val="40"/>
          <w:lang w:val="en-US" w:eastAsia="zh-CN"/>
        </w:rPr>
        <w:t>4</w:t>
      </w:r>
      <w:r>
        <w:rPr>
          <w:rFonts w:hint="eastAsia" w:ascii="仿宋" w:hAnsi="仿宋" w:eastAsia="仿宋" w:cs="仿宋"/>
          <w:sz w:val="32"/>
          <w:szCs w:val="40"/>
        </w:rPr>
        <w:t>个政府性基金预算项目支出开展绩效自评，共涉及资金</w:t>
      </w:r>
      <w:r>
        <w:rPr>
          <w:rFonts w:hint="eastAsia" w:ascii="仿宋" w:hAnsi="仿宋" w:eastAsia="仿宋" w:cs="仿宋"/>
          <w:sz w:val="32"/>
          <w:szCs w:val="40"/>
          <w:lang w:val="en-US" w:eastAsia="zh-CN"/>
        </w:rPr>
        <w:t>165.46</w:t>
      </w:r>
      <w:r>
        <w:rPr>
          <w:rFonts w:hint="eastAsia" w:ascii="仿宋" w:hAnsi="仿宋" w:eastAsia="仿宋" w:cs="仿宋"/>
          <w:sz w:val="32"/>
          <w:szCs w:val="40"/>
        </w:rPr>
        <w:t>万元，占政府性基金预算项目支出总额的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sz w:val="32"/>
          <w:szCs w:val="40"/>
          <w:lang w:eastAsia="zh-CN"/>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本部门在县级部门决算中主要反映困难群众救助等一级项目一个绩效自评结果。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both"/>
        <w:rPr>
          <w:rFonts w:hint="eastAsia" w:ascii="仿宋" w:hAnsi="仿宋" w:eastAsia="仿宋" w:cs="仿宋"/>
          <w:b/>
          <w:sz w:val="32"/>
          <w:szCs w:val="32"/>
        </w:rPr>
      </w:pPr>
      <w:r>
        <w:rPr>
          <w:rFonts w:hint="eastAsia" w:ascii="仿宋" w:hAnsi="仿宋" w:eastAsia="仿宋" w:cs="仿宋"/>
          <w:sz w:val="32"/>
          <w:szCs w:val="40"/>
        </w:rPr>
        <w:t>项目绩效自评综述：</w:t>
      </w:r>
      <w:r>
        <w:rPr>
          <w:rFonts w:hint="eastAsia" w:ascii="仿宋" w:hAnsi="仿宋" w:eastAsia="仿宋" w:cs="仿宋"/>
          <w:sz w:val="32"/>
          <w:szCs w:val="40"/>
          <w:lang w:val="en-US" w:eastAsia="zh-CN"/>
        </w:rPr>
        <w:t>一般公共预算</w:t>
      </w:r>
      <w:r>
        <w:rPr>
          <w:rFonts w:hint="eastAsia" w:ascii="仿宋" w:hAnsi="仿宋" w:eastAsia="仿宋" w:cs="仿宋"/>
          <w:sz w:val="32"/>
          <w:szCs w:val="40"/>
        </w:rPr>
        <w:t>项目全年预算数</w:t>
      </w:r>
      <w:r>
        <w:rPr>
          <w:rFonts w:hint="eastAsia" w:ascii="仿宋" w:hAnsi="仿宋" w:eastAsia="仿宋" w:cs="仿宋"/>
          <w:sz w:val="32"/>
          <w:szCs w:val="40"/>
          <w:lang w:val="en-US" w:eastAsia="zh-CN"/>
        </w:rPr>
        <w:t>3915.37</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3915.37</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100</w:t>
      </w:r>
      <w:r>
        <w:rPr>
          <w:rFonts w:hint="eastAsia" w:ascii="仿宋" w:hAnsi="仿宋" w:eastAsia="仿宋" w:cs="仿宋"/>
          <w:sz w:val="32"/>
          <w:szCs w:val="40"/>
        </w:rPr>
        <w:t>%。</w:t>
      </w:r>
      <w:r>
        <w:rPr>
          <w:rFonts w:hint="eastAsia" w:ascii="仿宋" w:hAnsi="仿宋" w:eastAsia="仿宋" w:cs="仿宋"/>
          <w:i w:val="0"/>
          <w:caps w:val="0"/>
          <w:color w:val="333333"/>
          <w:spacing w:val="0"/>
          <w:sz w:val="32"/>
          <w:szCs w:val="32"/>
          <w:u w:val="none"/>
          <w:lang w:val="en-US" w:eastAsia="zh-CN"/>
        </w:rPr>
        <w:t>2021</w:t>
      </w:r>
      <w:r>
        <w:rPr>
          <w:rFonts w:hint="eastAsia" w:ascii="仿宋" w:hAnsi="仿宋" w:eastAsia="仿宋" w:cs="仿宋"/>
          <w:i w:val="0"/>
          <w:caps w:val="0"/>
          <w:color w:val="333333"/>
          <w:spacing w:val="0"/>
          <w:sz w:val="32"/>
          <w:szCs w:val="32"/>
          <w:u w:val="none"/>
        </w:rPr>
        <w:t>年我</w:t>
      </w:r>
      <w:r>
        <w:rPr>
          <w:rFonts w:hint="eastAsia" w:ascii="仿宋" w:hAnsi="仿宋" w:eastAsia="仿宋" w:cs="仿宋"/>
          <w:i w:val="0"/>
          <w:caps w:val="0"/>
          <w:color w:val="333333"/>
          <w:spacing w:val="0"/>
          <w:sz w:val="32"/>
          <w:szCs w:val="32"/>
          <w:u w:val="none"/>
          <w:lang w:val="en-US" w:eastAsia="zh-CN"/>
        </w:rPr>
        <w:t>县</w:t>
      </w:r>
      <w:r>
        <w:rPr>
          <w:rFonts w:hint="eastAsia" w:ascii="仿宋" w:hAnsi="仿宋" w:eastAsia="仿宋" w:cs="仿宋"/>
          <w:i w:val="0"/>
          <w:caps w:val="0"/>
          <w:color w:val="333333"/>
          <w:spacing w:val="0"/>
          <w:sz w:val="32"/>
          <w:szCs w:val="32"/>
          <w:u w:val="none"/>
        </w:rPr>
        <w:t>有效地保证了</w:t>
      </w:r>
      <w:r>
        <w:rPr>
          <w:rFonts w:hint="eastAsia" w:ascii="仿宋" w:hAnsi="仿宋" w:eastAsia="仿宋" w:cs="仿宋"/>
          <w:i w:val="0"/>
          <w:caps w:val="0"/>
          <w:color w:val="333333"/>
          <w:spacing w:val="0"/>
          <w:sz w:val="32"/>
          <w:szCs w:val="32"/>
          <w:u w:val="none"/>
          <w:lang w:val="en-US" w:eastAsia="zh-CN"/>
        </w:rPr>
        <w:t>社会救助工作正常开展</w:t>
      </w:r>
      <w:r>
        <w:rPr>
          <w:rFonts w:hint="eastAsia" w:ascii="仿宋" w:hAnsi="仿宋" w:eastAsia="仿宋" w:cs="仿宋"/>
          <w:i w:val="0"/>
          <w:caps w:val="0"/>
          <w:color w:val="333333"/>
          <w:spacing w:val="0"/>
          <w:sz w:val="32"/>
          <w:szCs w:val="32"/>
          <w:u w:val="none"/>
        </w:rPr>
        <w:t>，特别是</w:t>
      </w:r>
      <w:r>
        <w:rPr>
          <w:rFonts w:hint="eastAsia" w:ascii="仿宋" w:hAnsi="仿宋" w:eastAsia="仿宋" w:cs="仿宋"/>
          <w:i w:val="0"/>
          <w:caps w:val="0"/>
          <w:color w:val="333333"/>
          <w:spacing w:val="0"/>
          <w:sz w:val="32"/>
          <w:szCs w:val="32"/>
          <w:u w:val="none"/>
          <w:lang w:val="en-US" w:eastAsia="zh-CN"/>
        </w:rPr>
        <w:t>中省困难群众救助资金提前下达，保障到位，确保了2021年全县城乡困难群众救助</w:t>
      </w:r>
      <w:r>
        <w:rPr>
          <w:rFonts w:hint="eastAsia" w:ascii="仿宋" w:hAnsi="仿宋" w:eastAsia="仿宋" w:cs="仿宋"/>
          <w:i w:val="0"/>
          <w:caps w:val="0"/>
          <w:color w:val="333333"/>
          <w:spacing w:val="0"/>
          <w:sz w:val="32"/>
          <w:szCs w:val="32"/>
          <w:u w:val="none"/>
        </w:rPr>
        <w:t>补助发放工作</w:t>
      </w:r>
      <w:r>
        <w:rPr>
          <w:rFonts w:hint="eastAsia" w:ascii="仿宋" w:hAnsi="仿宋" w:eastAsia="仿宋" w:cs="仿宋"/>
          <w:i w:val="0"/>
          <w:caps w:val="0"/>
          <w:color w:val="333333"/>
          <w:spacing w:val="0"/>
          <w:sz w:val="32"/>
          <w:szCs w:val="32"/>
          <w:u w:val="none"/>
          <w:lang w:val="en-US" w:eastAsia="zh-CN"/>
        </w:rPr>
        <w:t>主业</w:t>
      </w:r>
      <w:r>
        <w:rPr>
          <w:rFonts w:hint="eastAsia" w:ascii="仿宋" w:hAnsi="仿宋" w:eastAsia="仿宋" w:cs="仿宋"/>
          <w:i w:val="0"/>
          <w:caps w:val="0"/>
          <w:color w:val="333333"/>
          <w:spacing w:val="0"/>
          <w:sz w:val="32"/>
          <w:szCs w:val="32"/>
          <w:u w:val="none"/>
        </w:rPr>
        <w:t>的正常、平稳开展。通过</w:t>
      </w:r>
      <w:r>
        <w:rPr>
          <w:rFonts w:hint="eastAsia" w:ascii="仿宋" w:hAnsi="仿宋" w:eastAsia="仿宋" w:cs="仿宋"/>
          <w:i w:val="0"/>
          <w:caps w:val="0"/>
          <w:color w:val="333333"/>
          <w:spacing w:val="0"/>
          <w:sz w:val="32"/>
          <w:szCs w:val="32"/>
          <w:u w:val="none"/>
          <w:lang w:val="en-US" w:eastAsia="zh-CN"/>
        </w:rPr>
        <w:t>对困难群众救助资金</w:t>
      </w:r>
      <w:r>
        <w:rPr>
          <w:rFonts w:hint="eastAsia" w:ascii="仿宋" w:hAnsi="仿宋" w:eastAsia="仿宋" w:cs="仿宋"/>
          <w:i w:val="0"/>
          <w:caps w:val="0"/>
          <w:color w:val="333333"/>
          <w:spacing w:val="0"/>
          <w:sz w:val="32"/>
          <w:szCs w:val="32"/>
          <w:u w:val="none"/>
        </w:rPr>
        <w:t>补助发放的实施，</w:t>
      </w:r>
      <w:r>
        <w:rPr>
          <w:rFonts w:hint="eastAsia" w:ascii="仿宋" w:hAnsi="仿宋" w:eastAsia="仿宋" w:cs="仿宋"/>
          <w:i w:val="0"/>
          <w:caps w:val="0"/>
          <w:color w:val="333333"/>
          <w:spacing w:val="0"/>
          <w:sz w:val="32"/>
          <w:szCs w:val="32"/>
          <w:u w:val="none"/>
          <w:lang w:val="en-US" w:eastAsia="zh-CN"/>
        </w:rPr>
        <w:t>2021年实现全县</w:t>
      </w:r>
      <w:r>
        <w:rPr>
          <w:rFonts w:hint="eastAsia" w:ascii="仿宋_GB2312" w:hAnsi="仿宋" w:eastAsia="仿宋_GB2312"/>
          <w:color w:val="auto"/>
          <w:sz w:val="32"/>
          <w:szCs w:val="32"/>
        </w:rPr>
        <w:t>脱贫攻坚</w:t>
      </w:r>
      <w:r>
        <w:rPr>
          <w:rFonts w:hint="eastAsia" w:ascii="仿宋_GB2312" w:hAnsi="仿宋" w:eastAsia="仿宋_GB2312"/>
          <w:color w:val="auto"/>
          <w:sz w:val="32"/>
          <w:szCs w:val="32"/>
          <w:lang w:val="en-US" w:eastAsia="zh-CN"/>
        </w:rPr>
        <w:t>与乡村振兴有效衔接，</w:t>
      </w:r>
      <w:r>
        <w:rPr>
          <w:rFonts w:hint="eastAsia" w:ascii="仿宋" w:hAnsi="仿宋" w:eastAsia="仿宋" w:cs="仿宋"/>
          <w:i w:val="0"/>
          <w:caps w:val="0"/>
          <w:color w:val="333333"/>
          <w:spacing w:val="0"/>
          <w:sz w:val="32"/>
          <w:szCs w:val="32"/>
          <w:u w:val="none"/>
          <w:lang w:val="en-US" w:eastAsia="zh-CN"/>
        </w:rPr>
        <w:t>发挥了民政兜底保障作用。提高</w:t>
      </w:r>
      <w:r>
        <w:rPr>
          <w:rFonts w:hint="eastAsia" w:ascii="仿宋" w:hAnsi="仿宋" w:eastAsia="仿宋" w:cs="仿宋"/>
          <w:i w:val="0"/>
          <w:caps w:val="0"/>
          <w:color w:val="333333"/>
          <w:spacing w:val="0"/>
          <w:sz w:val="32"/>
          <w:szCs w:val="32"/>
          <w:u w:val="none"/>
        </w:rPr>
        <w:t>了</w:t>
      </w:r>
      <w:r>
        <w:rPr>
          <w:rFonts w:hint="eastAsia" w:ascii="仿宋" w:hAnsi="仿宋" w:eastAsia="仿宋" w:cs="仿宋"/>
          <w:i w:val="0"/>
          <w:caps w:val="0"/>
          <w:color w:val="333333"/>
          <w:spacing w:val="0"/>
          <w:sz w:val="32"/>
          <w:szCs w:val="32"/>
          <w:u w:val="none"/>
          <w:lang w:val="en-US" w:eastAsia="zh-CN"/>
        </w:rPr>
        <w:t>全县贫困人口</w:t>
      </w:r>
      <w:r>
        <w:rPr>
          <w:rFonts w:hint="eastAsia" w:ascii="仿宋" w:hAnsi="仿宋" w:eastAsia="仿宋" w:cs="仿宋"/>
          <w:i w:val="0"/>
          <w:caps w:val="0"/>
          <w:color w:val="333333"/>
          <w:spacing w:val="0"/>
          <w:sz w:val="32"/>
          <w:szCs w:val="32"/>
          <w:u w:val="none"/>
        </w:rPr>
        <w:t>的生活质量。维护了我</w:t>
      </w:r>
      <w:r>
        <w:rPr>
          <w:rFonts w:hint="eastAsia" w:ascii="仿宋" w:hAnsi="仿宋" w:eastAsia="仿宋" w:cs="仿宋"/>
          <w:i w:val="0"/>
          <w:caps w:val="0"/>
          <w:color w:val="333333"/>
          <w:spacing w:val="0"/>
          <w:sz w:val="32"/>
          <w:szCs w:val="32"/>
          <w:u w:val="none"/>
          <w:lang w:val="en-US" w:eastAsia="zh-CN"/>
        </w:rPr>
        <w:t>县经济社会</w:t>
      </w:r>
      <w:r>
        <w:rPr>
          <w:rFonts w:hint="eastAsia" w:ascii="仿宋" w:hAnsi="仿宋" w:eastAsia="仿宋" w:cs="仿宋"/>
          <w:i w:val="0"/>
          <w:caps w:val="0"/>
          <w:color w:val="333333"/>
          <w:spacing w:val="0"/>
          <w:sz w:val="32"/>
          <w:szCs w:val="32"/>
          <w:u w:val="none"/>
        </w:rPr>
        <w:t>的稳定。由于救助及时，保障了</w:t>
      </w:r>
      <w:r>
        <w:rPr>
          <w:rFonts w:hint="eastAsia" w:ascii="仿宋" w:hAnsi="仿宋" w:eastAsia="仿宋" w:cs="仿宋"/>
          <w:i w:val="0"/>
          <w:caps w:val="0"/>
          <w:color w:val="333333"/>
          <w:spacing w:val="0"/>
          <w:sz w:val="32"/>
          <w:szCs w:val="32"/>
          <w:u w:val="none"/>
          <w:lang w:val="en-US" w:eastAsia="zh-CN"/>
        </w:rPr>
        <w:t>贫困人口</w:t>
      </w:r>
      <w:r>
        <w:rPr>
          <w:rFonts w:hint="eastAsia" w:ascii="仿宋" w:hAnsi="仿宋" w:eastAsia="仿宋" w:cs="仿宋"/>
          <w:i w:val="0"/>
          <w:caps w:val="0"/>
          <w:color w:val="333333"/>
          <w:spacing w:val="0"/>
          <w:sz w:val="32"/>
          <w:szCs w:val="32"/>
          <w:u w:val="none"/>
        </w:rPr>
        <w:t>的衣食住等突发困难。困难群众人员救助政策</w:t>
      </w:r>
      <w:r>
        <w:rPr>
          <w:rFonts w:hint="eastAsia" w:ascii="仿宋" w:hAnsi="仿宋" w:eastAsia="仿宋" w:cs="仿宋"/>
          <w:i w:val="0"/>
          <w:caps w:val="0"/>
          <w:color w:val="333333"/>
          <w:spacing w:val="0"/>
          <w:sz w:val="32"/>
          <w:szCs w:val="32"/>
          <w:u w:val="none"/>
          <w:lang w:val="en-US" w:eastAsia="zh-CN"/>
        </w:rPr>
        <w:t>的</w:t>
      </w:r>
      <w:r>
        <w:rPr>
          <w:rFonts w:hint="eastAsia" w:ascii="仿宋" w:hAnsi="仿宋" w:eastAsia="仿宋" w:cs="仿宋"/>
          <w:i w:val="0"/>
          <w:caps w:val="0"/>
          <w:color w:val="333333"/>
          <w:spacing w:val="0"/>
          <w:sz w:val="32"/>
          <w:szCs w:val="32"/>
          <w:u w:val="none"/>
        </w:rPr>
        <w:t>满意度比较高。</w:t>
      </w:r>
      <w:r>
        <w:rPr>
          <w:rFonts w:hint="eastAsia" w:ascii="仿宋" w:hAnsi="仿宋" w:eastAsia="仿宋" w:cs="仿宋"/>
          <w:sz w:val="32"/>
          <w:szCs w:val="32"/>
        </w:rPr>
        <w:t>按照财政支出绩效评价原则、工作流程、指标体系、评价标准、评价方法，经综合评价，该项目最终得分97分。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3"/>
        <w:jc w:val="left"/>
        <w:rPr>
          <w:rFonts w:ascii="楷体" w:hAnsi="楷体" w:eastAsia="楷体" w:cs="楷体"/>
          <w:sz w:val="32"/>
          <w:szCs w:val="32"/>
        </w:rPr>
      </w:pPr>
      <w:r>
        <w:rPr>
          <w:rFonts w:hint="eastAsia" w:ascii="仿宋" w:hAnsi="仿宋" w:eastAsia="仿宋" w:cs="仿宋"/>
          <w:b w:val="0"/>
          <w:bCs w:val="0"/>
          <w:sz w:val="32"/>
          <w:szCs w:val="32"/>
          <w:lang w:val="en-US" w:eastAsia="zh-CN"/>
        </w:rPr>
        <w:t>在该项目的实施中，还存在资金投入力度按中省要求不大，</w:t>
      </w:r>
      <w:r>
        <w:rPr>
          <w:rFonts w:hint="eastAsia" w:ascii="仿宋" w:hAnsi="仿宋" w:eastAsia="仿宋" w:cs="仿宋"/>
          <w:b w:val="0"/>
          <w:bCs w:val="0"/>
          <w:i w:val="0"/>
          <w:caps w:val="0"/>
          <w:color w:val="333333"/>
          <w:spacing w:val="0"/>
          <w:sz w:val="32"/>
          <w:szCs w:val="32"/>
          <w:u w:val="none"/>
        </w:rPr>
        <w:t>社会救助队伍</w:t>
      </w:r>
      <w:r>
        <w:rPr>
          <w:rFonts w:hint="eastAsia" w:ascii="仿宋" w:hAnsi="仿宋" w:eastAsia="仿宋" w:cs="仿宋"/>
          <w:b w:val="0"/>
          <w:bCs w:val="0"/>
          <w:i w:val="0"/>
          <w:caps w:val="0"/>
          <w:color w:val="333333"/>
          <w:spacing w:val="0"/>
          <w:sz w:val="32"/>
          <w:szCs w:val="32"/>
          <w:u w:val="none"/>
          <w:lang w:val="en-US" w:eastAsia="zh-CN"/>
        </w:rPr>
        <w:t>薄弱。下一步将</w:t>
      </w:r>
      <w:r>
        <w:rPr>
          <w:rFonts w:hint="eastAsia" w:ascii="仿宋" w:hAnsi="仿宋" w:eastAsia="仿宋" w:cs="仿宋"/>
          <w:b w:val="0"/>
          <w:bCs w:val="0"/>
          <w:i w:val="0"/>
          <w:caps w:val="0"/>
          <w:color w:val="333333"/>
          <w:spacing w:val="0"/>
          <w:sz w:val="32"/>
          <w:szCs w:val="32"/>
          <w:u w:val="none"/>
          <w:shd w:val="clear" w:color="auto" w:fill="FFFFFF"/>
          <w:lang w:val="en-US" w:eastAsia="zh-CN"/>
        </w:rPr>
        <w:t>进一步完善整合救助体系制度，</w:t>
      </w:r>
      <w:r>
        <w:rPr>
          <w:rFonts w:hint="eastAsia" w:ascii="仿宋" w:hAnsi="仿宋" w:eastAsia="仿宋" w:cs="仿宋"/>
          <w:b w:val="0"/>
          <w:bCs w:val="0"/>
          <w:i w:val="0"/>
          <w:caps w:val="0"/>
          <w:color w:val="333333"/>
          <w:spacing w:val="0"/>
          <w:sz w:val="32"/>
          <w:szCs w:val="32"/>
          <w:u w:val="none"/>
          <w:shd w:val="clear" w:color="auto" w:fill="FFFFFF"/>
        </w:rPr>
        <w:t>加强宣传，</w:t>
      </w:r>
      <w:r>
        <w:rPr>
          <w:rFonts w:hint="eastAsia" w:ascii="仿宋" w:hAnsi="仿宋" w:eastAsia="仿宋" w:cs="仿宋"/>
          <w:b w:val="0"/>
          <w:bCs w:val="0"/>
          <w:i w:val="0"/>
          <w:caps w:val="0"/>
          <w:color w:val="333333"/>
          <w:spacing w:val="0"/>
          <w:sz w:val="32"/>
          <w:szCs w:val="32"/>
          <w:u w:val="none"/>
          <w:shd w:val="clear" w:color="auto" w:fill="FFFFFF"/>
          <w:lang w:val="en-US" w:eastAsia="zh-CN"/>
        </w:rPr>
        <w:t>加大地方资金投入力度，</w:t>
      </w:r>
      <w:r>
        <w:rPr>
          <w:rFonts w:hint="eastAsia" w:ascii="仿宋" w:hAnsi="仿宋" w:eastAsia="仿宋" w:cs="仿宋"/>
          <w:b w:val="0"/>
          <w:bCs w:val="0"/>
          <w:i w:val="0"/>
          <w:caps w:val="0"/>
          <w:color w:val="333333"/>
          <w:spacing w:val="0"/>
          <w:sz w:val="32"/>
          <w:szCs w:val="32"/>
          <w:u w:val="none"/>
        </w:rPr>
        <w:t>加强社会救助队伍</w:t>
      </w:r>
      <w:r>
        <w:rPr>
          <w:rFonts w:hint="eastAsia" w:ascii="仿宋" w:hAnsi="仿宋" w:eastAsia="仿宋" w:cs="仿宋"/>
          <w:b w:val="0"/>
          <w:bCs w:val="0"/>
          <w:i w:val="0"/>
          <w:caps w:val="0"/>
          <w:color w:val="333333"/>
          <w:spacing w:val="0"/>
          <w:sz w:val="32"/>
          <w:szCs w:val="32"/>
          <w:u w:val="none"/>
          <w:lang w:eastAsia="zh-CN"/>
        </w:rPr>
        <w:t>，</w:t>
      </w:r>
      <w:r>
        <w:rPr>
          <w:rFonts w:hint="eastAsia" w:ascii="仿宋" w:hAnsi="仿宋" w:eastAsia="仿宋" w:cs="仿宋"/>
          <w:b w:val="0"/>
          <w:bCs w:val="0"/>
          <w:i w:val="0"/>
          <w:caps w:val="0"/>
          <w:color w:val="333333"/>
          <w:spacing w:val="0"/>
          <w:sz w:val="32"/>
          <w:szCs w:val="32"/>
          <w:u w:val="none"/>
          <w:shd w:val="clear" w:color="auto" w:fill="FFFFFF"/>
        </w:rPr>
        <w:t>使广大干部群众进一步了解政策的范围、对象、标准、程序等具体政策内容，推动了</w:t>
      </w:r>
      <w:r>
        <w:rPr>
          <w:rFonts w:hint="eastAsia" w:ascii="仿宋" w:hAnsi="仿宋" w:eastAsia="仿宋" w:cs="仿宋"/>
          <w:b w:val="0"/>
          <w:bCs w:val="0"/>
          <w:i w:val="0"/>
          <w:caps w:val="0"/>
          <w:color w:val="333333"/>
          <w:spacing w:val="0"/>
          <w:sz w:val="32"/>
          <w:szCs w:val="32"/>
          <w:u w:val="none"/>
          <w:shd w:val="clear" w:color="auto" w:fill="FFFFFF"/>
          <w:lang w:val="en-US" w:eastAsia="zh-CN"/>
        </w:rPr>
        <w:t>社会救助</w:t>
      </w:r>
      <w:r>
        <w:rPr>
          <w:rFonts w:hint="eastAsia" w:ascii="仿宋" w:hAnsi="仿宋" w:eastAsia="仿宋" w:cs="仿宋"/>
          <w:b w:val="0"/>
          <w:bCs w:val="0"/>
          <w:i w:val="0"/>
          <w:caps w:val="0"/>
          <w:color w:val="333333"/>
          <w:spacing w:val="0"/>
          <w:sz w:val="32"/>
          <w:szCs w:val="32"/>
          <w:u w:val="none"/>
          <w:shd w:val="clear" w:color="auto" w:fill="FFFFFF"/>
        </w:rPr>
        <w:t>工作深入开展。</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hint="eastAsia" w:ascii="楷体" w:hAnsi="楷体" w:eastAsia="楷体" w:cs="楷体"/>
          <w:b/>
          <w:bCs/>
          <w:sz w:val="32"/>
          <w:szCs w:val="40"/>
          <w:lang w:val="en-US" w:eastAsia="zh-CN"/>
        </w:rPr>
      </w:pPr>
      <w:r>
        <w:rPr>
          <w:rFonts w:hint="eastAsia" w:ascii="楷体" w:hAnsi="楷体" w:eastAsia="楷体" w:cs="楷体"/>
          <w:sz w:val="32"/>
          <w:szCs w:val="32"/>
          <w:lang w:eastAsia="zh-CN"/>
        </w:rPr>
        <w:object>
          <v:shape id="_x0000_i1025" o:spt="75" type="#_x0000_t75" style="height:622.2pt;width:565.6pt;" o:ole="t" filled="f" o:preferrelative="t" stroked="f" coordsize="21600,21600">
            <v:path/>
            <v:fill on="f" focussize="0,0"/>
            <v:stroke on="f"/>
            <v:imagedata r:id="rId12" o:title=""/>
            <o:lock v:ext="edit" aspectratio="t"/>
            <w10:wrap type="none"/>
            <w10:anchorlock/>
          </v:shape>
          <o:OLEObject Type="Embed" ProgID="Excel.Sheet.12" ShapeID="_x0000_i1025" DrawAspect="Content" ObjectID="_1468075725" r:id="rId11">
            <o:LockedField>false</o:LockedField>
          </o:OLEObject>
        </w:object>
      </w:r>
      <w:r>
        <w:rPr>
          <w:rFonts w:hint="eastAsia" w:ascii="楷体" w:hAnsi="楷体" w:eastAsia="楷体" w:cs="楷体"/>
          <w:sz w:val="32"/>
          <w:szCs w:val="32"/>
          <w:lang w:val="en-US" w:eastAsia="zh-CN"/>
        </w:rPr>
        <w:t xml:space="preserve">    </w:t>
      </w:r>
      <w:r>
        <w:rPr>
          <w:rFonts w:hint="eastAsia" w:ascii="楷体" w:hAnsi="楷体" w:eastAsia="楷体" w:cs="楷体"/>
          <w:b/>
          <w:bCs/>
          <w:sz w:val="32"/>
          <w:szCs w:val="40"/>
          <w:lang w:val="en-US" w:eastAsia="zh-CN"/>
        </w:rPr>
        <w:t>（三）部门整体支出绩效自评结果。</w:t>
      </w:r>
    </w:p>
    <w:p>
      <w:pPr>
        <w:adjustRightInd w:val="0"/>
        <w:snapToGrid w:val="0"/>
        <w:spacing w:line="560" w:lineRule="exact"/>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val="en-US" w:eastAsia="zh-CN"/>
        </w:rPr>
        <w:t>根据部门整体支出绩效自评指标体系，本部门自评得分98分。部门整体支出全年预算数4547.68万元，执行数4547.68万元，完成预算的100%。本年度部门总体运行情况及取得的成绩：2021年以“三保”为支出重点财政资金在部门不折不扣显现。以社会救助、社会福利、社会治理为主业的为困难群众兜底保生活；为养老、殡葬、婚姻登记、区划地名管理等社会福利保运转；为基层社会治理提供公共服务保障</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按期完成省市县民政安排的各项工作任务。</w:t>
      </w:r>
      <w:r>
        <w:rPr>
          <w:rFonts w:hint="eastAsia" w:ascii="仿宋" w:hAnsi="仿宋" w:eastAsia="仿宋" w:cs="仿宋"/>
          <w:sz w:val="32"/>
          <w:szCs w:val="40"/>
        </w:rPr>
        <w:t>发现的问题及原因：支出进度不均衡，支出进度率有待提高。下一步改进措施：1、加强预算、决算编制工作，科学合理测算各项支出，细化支出预算，确保各项工作正常运转和事业发展；2、抓支出进度，坚持按月支出进度，确保实际支出进度与序时进度保持一致</w:t>
      </w:r>
      <w:r>
        <w:rPr>
          <w:rFonts w:hint="eastAsia" w:ascii="仿宋" w:hAnsi="仿宋" w:eastAsia="仿宋" w:cs="仿宋"/>
          <w:sz w:val="32"/>
          <w:szCs w:val="40"/>
          <w:lang w:eastAsia="zh-CN"/>
        </w:rPr>
        <w:t>。</w:t>
      </w: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jc w:val="left"/>
        <w:rPr>
          <w:rFonts w:hint="eastAsia" w:ascii="楷体" w:hAnsi="楷体" w:eastAsia="楷体" w:cs="楷体"/>
          <w:b/>
          <w:bCs/>
          <w:sz w:val="32"/>
          <w:szCs w:val="40"/>
        </w:rPr>
      </w:pPr>
      <w:r>
        <w:rPr>
          <w:rFonts w:hint="eastAsia" w:ascii="楷体" w:hAnsi="楷体" w:eastAsia="楷体" w:cs="楷体"/>
          <w:sz w:val="32"/>
          <w:szCs w:val="32"/>
          <w:lang w:eastAsia="zh-CN"/>
        </w:rPr>
        <w:object>
          <v:shape id="_x0000_i1026" o:spt="75" type="#_x0000_t75" style="height:645.2pt;width:454.05pt;" o:ole="t" filled="f" o:preferrelative="t" stroked="f" coordsize="21600,21600">
            <v:path/>
            <v:fill on="f" focussize="0,0"/>
            <v:stroke on="f"/>
            <v:imagedata r:id="rId14" o:title=""/>
            <o:lock v:ext="edit" aspectratio="t"/>
            <w10:wrap type="none"/>
            <w10:anchorlock/>
          </v:shape>
          <o:OLEObject Type="Embed" ProgID="Excel.Sheet.12" ShapeID="_x0000_i1026" DrawAspect="Content" ObjectID="_1468075726" r:id="rId13">
            <o:LockedField>false</o:LockedField>
          </o:OLEObject>
        </w:object>
      </w:r>
      <w:r>
        <w:rPr>
          <w:rFonts w:hint="eastAsia" w:ascii="楷体" w:hAnsi="楷体" w:eastAsia="楷体" w:cs="楷体"/>
          <w:b/>
          <w:bCs/>
          <w:sz w:val="32"/>
          <w:szCs w:val="40"/>
          <w:lang w:val="en-US" w:eastAsia="zh-CN"/>
        </w:rPr>
        <w:t>（四）部门</w:t>
      </w:r>
      <w:r>
        <w:rPr>
          <w:rFonts w:hint="eastAsia" w:ascii="楷体" w:hAnsi="楷体" w:eastAsia="楷体" w:cs="楷体"/>
          <w:b/>
          <w:bCs/>
          <w:sz w:val="32"/>
          <w:szCs w:val="40"/>
        </w:rPr>
        <w:t>重点评价项目绩效评价结果</w:t>
      </w:r>
    </w:p>
    <w:p>
      <w:pPr>
        <w:pStyle w:val="3"/>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本部门对</w:t>
      </w:r>
      <w:r>
        <w:rPr>
          <w:rFonts w:hint="eastAsia" w:ascii="仿宋" w:hAnsi="仿宋" w:eastAsia="仿宋" w:cs="仿宋"/>
          <w:color w:val="auto"/>
          <w:sz w:val="32"/>
          <w:szCs w:val="32"/>
          <w:highlight w:val="none"/>
          <w:lang w:val="en-US" w:eastAsia="zh-CN"/>
        </w:rPr>
        <w:t>2021</w:t>
      </w:r>
      <w:r>
        <w:rPr>
          <w:rFonts w:hint="eastAsia" w:ascii="仿宋" w:hAnsi="仿宋" w:eastAsia="仿宋" w:cs="仿宋"/>
          <w:color w:val="auto"/>
          <w:sz w:val="32"/>
          <w:szCs w:val="32"/>
          <w:highlight w:val="none"/>
        </w:rPr>
        <w:t>年度的</w:t>
      </w:r>
      <w:r>
        <w:rPr>
          <w:rFonts w:hint="eastAsia" w:ascii="仿宋" w:hAnsi="仿宋" w:eastAsia="仿宋" w:cs="仿宋"/>
          <w:color w:val="auto"/>
          <w:sz w:val="32"/>
          <w:szCs w:val="32"/>
          <w:highlight w:val="none"/>
          <w:lang w:val="en-US" w:eastAsia="zh-CN"/>
        </w:rPr>
        <w:t>残疾人</w:t>
      </w:r>
      <w:r>
        <w:rPr>
          <w:rFonts w:hint="eastAsia" w:ascii="仿宋" w:hAnsi="仿宋" w:eastAsia="仿宋" w:cs="仿宋"/>
          <w:b w:val="0"/>
          <w:bCs w:val="0"/>
          <w:color w:val="auto"/>
          <w:sz w:val="32"/>
          <w:szCs w:val="32"/>
          <w:highlight w:val="none"/>
          <w:lang w:val="en-US" w:eastAsia="zh-CN"/>
        </w:rPr>
        <w:t>残疾人两项补贴</w:t>
      </w:r>
      <w:r>
        <w:rPr>
          <w:rFonts w:hint="eastAsia" w:ascii="仿宋" w:hAnsi="仿宋" w:eastAsia="仿宋" w:cs="仿宋"/>
          <w:color w:val="auto"/>
          <w:sz w:val="32"/>
          <w:szCs w:val="32"/>
          <w:highlight w:val="none"/>
        </w:rPr>
        <w:t>项目开展了部门重点绩效评价，评价得分</w:t>
      </w:r>
      <w:r>
        <w:rPr>
          <w:rFonts w:hint="eastAsia" w:ascii="仿宋" w:hAnsi="仿宋" w:eastAsia="仿宋" w:cs="仿宋"/>
          <w:color w:val="auto"/>
          <w:sz w:val="32"/>
          <w:szCs w:val="32"/>
          <w:highlight w:val="none"/>
          <w:lang w:val="en-US" w:eastAsia="zh-CN"/>
        </w:rPr>
        <w:t>98</w:t>
      </w:r>
      <w:r>
        <w:rPr>
          <w:rFonts w:hint="eastAsia" w:ascii="仿宋" w:hAnsi="仿宋" w:eastAsia="仿宋" w:cs="仿宋"/>
          <w:color w:val="auto"/>
          <w:sz w:val="32"/>
          <w:szCs w:val="32"/>
          <w:highlight w:val="none"/>
        </w:rPr>
        <w:t>，综合评价等级为“优”</w:t>
      </w:r>
    </w:p>
    <w:p>
      <w:pPr>
        <w:pStyle w:val="4"/>
        <w:rPr>
          <w:rFonts w:hint="eastAsia"/>
          <w:lang w:eastAsia="zh-CN"/>
        </w:rPr>
      </w:pPr>
    </w:p>
    <w:p>
      <w:pPr>
        <w:ind w:firstLine="640" w:firstLineChars="200"/>
        <w:rPr>
          <w:rFonts w:hint="eastAsia" w:ascii="仿宋" w:hAnsi="仿宋" w:eastAsia="仿宋" w:cs="仿宋"/>
          <w:color w:val="auto"/>
          <w:sz w:val="32"/>
          <w:szCs w:val="40"/>
        </w:rPr>
      </w:pPr>
      <w:r>
        <w:rPr>
          <w:rFonts w:hint="eastAsia" w:ascii="仿宋" w:hAnsi="仿宋" w:eastAsia="仿宋" w:cs="仿宋"/>
          <w:color w:val="auto"/>
          <w:sz w:val="32"/>
          <w:szCs w:val="40"/>
        </w:rPr>
        <w:t>附件：</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2021年残疾人两项补贴项目绩效自评报告</w:t>
      </w:r>
    </w:p>
    <w:p>
      <w:pPr>
        <w:jc w:val="center"/>
        <w:rPr>
          <w:rFonts w:hint="eastAsia" w:ascii="仿宋" w:hAnsi="仿宋" w:eastAsia="仿宋" w:cs="仿宋"/>
          <w:b w:val="0"/>
          <w:bCs w:val="0"/>
          <w:sz w:val="32"/>
          <w:szCs w:val="32"/>
          <w:lang w:val="en-US" w:eastAsia="zh-CN"/>
        </w:rPr>
      </w:pP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一、绩效目标分解下达情况</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县财政以千财预（2021）4号、千财社基（2021）5号、千财社指（2021）3号、千财预追（2021）211号下达残疾人两项补贴380.52万元。此项资金通过国库集中支付直达到县民政局。该绩效目标为中省、市、县安排的困难残疾人两项补贴补助。主要用于全县</w:t>
      </w:r>
      <w:r>
        <w:rPr>
          <w:rFonts w:hint="eastAsia" w:ascii="仿宋" w:hAnsi="仿宋" w:eastAsia="仿宋" w:cs="仿宋"/>
          <w:sz w:val="32"/>
          <w:szCs w:val="32"/>
          <w:lang w:val="en-US" w:eastAsia="zh-CN"/>
        </w:rPr>
        <w:t>困难残疾人和重度残疾人护理生活补贴支出，每月通过惠农补贴“一卡通”发放</w:t>
      </w:r>
      <w:r>
        <w:rPr>
          <w:rFonts w:hint="eastAsia" w:ascii="仿宋" w:hAnsi="仿宋" w:eastAsia="仿宋" w:cs="仿宋"/>
          <w:b w:val="0"/>
          <w:bCs w:val="0"/>
          <w:sz w:val="32"/>
          <w:szCs w:val="32"/>
          <w:lang w:val="en-US" w:eastAsia="zh-CN"/>
        </w:rPr>
        <w:t>。</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二、绩效目标完成情况分析</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（一）资金投入情况分析。</w:t>
      </w:r>
      <w:r>
        <w:rPr>
          <w:rFonts w:hint="eastAsia" w:ascii="仿宋" w:hAnsi="仿宋" w:eastAsia="仿宋" w:cs="仿宋"/>
          <w:sz w:val="32"/>
          <w:szCs w:val="32"/>
          <w:lang w:val="en-US" w:eastAsia="zh-CN"/>
        </w:rPr>
        <w:t>根据《宝鸡市人民政府关于进一步落实困难残疾人生活补贴和重度残疾人护理补贴制度的实施意见》宝政发【2016】22号</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规定，</w:t>
      </w:r>
      <w:r>
        <w:rPr>
          <w:rFonts w:hint="eastAsia" w:ascii="仿宋" w:hAnsi="仿宋" w:eastAsia="仿宋" w:cs="仿宋"/>
          <w:b w:val="0"/>
          <w:bCs w:val="0"/>
          <w:sz w:val="32"/>
          <w:szCs w:val="32"/>
          <w:lang w:val="en-US" w:eastAsia="zh-CN"/>
        </w:rPr>
        <w:t>残疾人两项补贴所需资金由财政预算安排，省级负担50%，市县各负担50%。2021年共投入资金380.52万元，其中：省市资金安排281.31万元，县级安排抗疫特别国债资金99.21万元。此项资金通过国库集中支付下达到县民政局，再</w:t>
      </w:r>
      <w:bookmarkStart w:id="0" w:name="_GoBack"/>
      <w:bookmarkEnd w:id="0"/>
      <w:r>
        <w:rPr>
          <w:rFonts w:hint="eastAsia" w:ascii="仿宋" w:hAnsi="仿宋" w:eastAsia="仿宋" w:cs="仿宋"/>
          <w:b w:val="0"/>
          <w:bCs w:val="0"/>
          <w:sz w:val="32"/>
          <w:szCs w:val="32"/>
          <w:lang w:val="en-US" w:eastAsia="zh-CN"/>
        </w:rPr>
        <w:t>通过财政惠农补贴一卡通按月发放到全县困难残疾人群众对象手中。</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（二）总体绩效目标完成情况分析。</w:t>
      </w:r>
      <w:r>
        <w:rPr>
          <w:rFonts w:hint="eastAsia" w:ascii="仿宋" w:hAnsi="仿宋" w:eastAsia="仿宋" w:cs="仿宋"/>
          <w:sz w:val="32"/>
          <w:szCs w:val="32"/>
          <w:lang w:val="en-US" w:eastAsia="zh-CN"/>
        </w:rPr>
        <w:t>2021年我们认真做好全县城乡残疾人基本生活保障工作，分工负责，县残联负责残疾人审核审批认定工作，县民政局负责资金发放，</w:t>
      </w:r>
      <w:r>
        <w:rPr>
          <w:rFonts w:hint="eastAsia" w:ascii="仿宋" w:hAnsi="仿宋" w:eastAsia="仿宋" w:cs="仿宋"/>
          <w:sz w:val="32"/>
          <w:szCs w:val="32"/>
        </w:rPr>
        <w:t>确保</w:t>
      </w:r>
      <w:r>
        <w:rPr>
          <w:rFonts w:hint="eastAsia" w:ascii="仿宋" w:hAnsi="仿宋" w:eastAsia="仿宋" w:cs="仿宋"/>
          <w:sz w:val="32"/>
          <w:szCs w:val="32"/>
          <w:lang w:val="en-US" w:eastAsia="zh-CN"/>
        </w:rPr>
        <w:t>了全县3277人困难残疾人生活补贴和1281人重度残疾人护理补贴按月通过“惠农补贴一卡通系统”发放。2021年残疾人两项补贴支出380.52万元，</w:t>
      </w:r>
      <w:r>
        <w:rPr>
          <w:rFonts w:hint="eastAsia" w:ascii="仿宋" w:hAnsi="仿宋" w:eastAsia="仿宋" w:cs="仿宋"/>
          <w:i w:val="0"/>
          <w:color w:val="000000"/>
          <w:kern w:val="0"/>
          <w:sz w:val="32"/>
          <w:szCs w:val="32"/>
          <w:u w:val="none"/>
          <w:lang w:val="en-US" w:eastAsia="zh-CN" w:bidi="ar"/>
        </w:rPr>
        <w:t>预算执行率100%。</w:t>
      </w:r>
      <w:r>
        <w:rPr>
          <w:rFonts w:hint="eastAsia" w:ascii="仿宋" w:hAnsi="仿宋" w:eastAsia="仿宋" w:cs="仿宋"/>
          <w:sz w:val="32"/>
          <w:szCs w:val="32"/>
          <w:lang w:val="en-US" w:eastAsia="zh-CN"/>
        </w:rPr>
        <w:t>切实保障城乡残疾人基生活，依法享有基本生活权益。确保了残疾人生活补贴和重度残疾人护理补贴按月发放，全面保障了全县城乡残疾人基本生活。</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（三）绩效指标完成情况分析。</w:t>
      </w:r>
      <w:r>
        <w:rPr>
          <w:rFonts w:hint="eastAsia" w:ascii="仿宋" w:hAnsi="仿宋" w:eastAsia="仿宋" w:cs="仿宋"/>
          <w:b w:val="0"/>
          <w:bCs w:val="0"/>
          <w:sz w:val="32"/>
          <w:szCs w:val="32"/>
          <w:lang w:val="en-US" w:eastAsia="zh-CN"/>
        </w:rPr>
        <w:t>依据县残联审核后的全县符合条件的残疾人依法享受两项补贴，2020年全县每月共有4558人符合享有残疾人两项补贴，完成数量目标任务100%；县民政局于每月通过财政惠农补贴一卡通发放到残疾人手中，完成时效目标100%；全年共发放12批次380.52万元，全面完成了成本目标任务100%。</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三、偏离绩效目标的原因和下一步改进措施 </w:t>
      </w:r>
      <w:r>
        <w:rPr>
          <w:rFonts w:hint="eastAsia" w:ascii="仿宋" w:hAnsi="仿宋" w:eastAsia="仿宋" w:cs="仿宋"/>
          <w:b w:val="0"/>
          <w:bCs w:val="0"/>
          <w:sz w:val="32"/>
          <w:szCs w:val="32"/>
          <w:lang w:val="en-US" w:eastAsia="zh-CN"/>
        </w:rPr>
        <w:t>无</w:t>
      </w:r>
    </w:p>
    <w:p>
      <w:pPr>
        <w:numPr>
          <w:ilvl w:val="0"/>
          <w:numId w:val="3"/>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绩效自评结果拟应用和公开情况 </w:t>
      </w:r>
      <w:r>
        <w:rPr>
          <w:rFonts w:hint="eastAsia" w:ascii="仿宋" w:hAnsi="仿宋" w:eastAsia="仿宋" w:cs="仿宋"/>
          <w:b w:val="0"/>
          <w:bCs w:val="0"/>
          <w:sz w:val="32"/>
          <w:szCs w:val="32"/>
          <w:lang w:val="en-US" w:eastAsia="zh-CN"/>
        </w:rPr>
        <w:t>通过政府网站公开</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五、其他需要说明的问题  </w:t>
      </w:r>
      <w:r>
        <w:rPr>
          <w:rFonts w:hint="eastAsia" w:ascii="仿宋" w:hAnsi="仿宋" w:eastAsia="仿宋" w:cs="仿宋"/>
          <w:b w:val="0"/>
          <w:bCs w:val="0"/>
          <w:sz w:val="32"/>
          <w:szCs w:val="32"/>
          <w:lang w:val="en-US" w:eastAsia="zh-CN"/>
        </w:rPr>
        <w:t>无</w:t>
      </w:r>
    </w:p>
    <w:p>
      <w:pPr>
        <w:jc w:val="left"/>
        <w:rPr>
          <w:rFonts w:hint="eastAsia" w:ascii="楷体" w:hAnsi="楷体" w:eastAsia="楷体" w:cs="楷体"/>
          <w:sz w:val="32"/>
          <w:szCs w:val="32"/>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5.公用经费</w:t>
      </w:r>
      <w:r>
        <w:rPr>
          <w:rFonts w:hint="eastAsia" w:ascii="仿宋" w:hAnsi="仿宋" w:eastAsia="仿宋" w:cs="仿宋"/>
          <w:color w:val="auto"/>
          <w:sz w:val="32"/>
          <w:szCs w:val="32"/>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6.工资福利支出：</w:t>
      </w:r>
      <w:r>
        <w:rPr>
          <w:rFonts w:hint="eastAsia" w:ascii="仿宋" w:hAnsi="仿宋" w:eastAsia="仿宋" w:cs="仿宋"/>
          <w:color w:val="auto"/>
          <w:sz w:val="32"/>
          <w:szCs w:val="32"/>
        </w:rPr>
        <w:t>反映开支的在职职工和编制外长期聘用人员的各类劳动报酬，以及上述人员缴纳的各项社会保险费等。</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7.结转资金：</w:t>
      </w:r>
      <w:r>
        <w:rPr>
          <w:rFonts w:hint="eastAsia" w:ascii="仿宋" w:hAnsi="仿宋" w:eastAsia="仿宋" w:cs="仿宋"/>
          <w:color w:val="auto"/>
          <w:sz w:val="32"/>
          <w:szCs w:val="32"/>
        </w:rPr>
        <w:t>即当年预算已执行但未完成，或者因故未执行，下一年度需要按原用途继续使用的资金。</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8.结余资金：</w:t>
      </w:r>
      <w:r>
        <w:rPr>
          <w:rFonts w:hint="eastAsia" w:ascii="仿宋" w:hAnsi="仿宋" w:eastAsia="仿宋" w:cs="仿宋"/>
          <w:color w:val="auto"/>
          <w:sz w:val="32"/>
          <w:szCs w:val="32"/>
        </w:rPr>
        <w:t>即当年预算工作目标已完成，或者因故终止，当年剩余的资金。</w:t>
      </w:r>
    </w:p>
    <w:p>
      <w:pPr>
        <w:ind w:firstLine="640"/>
        <w:rPr>
          <w:rFonts w:hint="eastAsia" w:ascii="仿宋_GB2312" w:hAnsi="仿宋_GB2312" w:eastAsia="仿宋_GB2312" w:cs="仿宋_GB2312"/>
          <w:color w:val="auto"/>
          <w:sz w:val="32"/>
          <w:szCs w:val="32"/>
          <w:lang w:eastAsia="zh-CN"/>
        </w:rPr>
      </w:pPr>
    </w:p>
    <w:sectPr>
      <w:footerReference r:id="rId4" w:type="default"/>
      <w:pgSz w:w="11906" w:h="16838"/>
      <w:pgMar w:top="2098" w:right="1474" w:bottom="1984" w:left="1587" w:header="851" w:footer="992" w:gutter="0"/>
      <w:pgNumType w:fmt="decimal"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929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pt;margin-top:1.7pt;height:13.25pt;width:52.7pt;mso-position-horizontal-relative:margin;z-index:251660288;mso-width-relative:page;mso-height-relative:page;" filled="f" stroked="f" coordsize="21600,21600" o:gfxdata="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BcPrYAAAACAEAAA8AAAAAAAAAAQAgAAAAIgAAAGRycy9kb3du&#10;cmV2LnhtbFBLAQIUABQAAAAIAIdO4kD8XcyUOAIAAGEEAAAOAAAAAAAAAAEAIAAAACcBAABkcnMv&#10;ZTJvRG9jLnhtbFBLBQYAAAAABgAGAFkBAADRBQAAAAA=&#10;">
              <v:fill on="f" focussize="0,0"/>
              <v:stroke on="f" weight="0.5pt"/>
              <v:imagedata o:title=""/>
              <o:lock v:ext="edit" aspectratio="f"/>
              <v:textbox inset="0mm,0mm,0mm,0mm">
                <w:txbxContent>
                  <w:p>
                    <w:pPr>
                      <w:pStyle w:val="6"/>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4FBFC"/>
    <w:multiLevelType w:val="singleLevel"/>
    <w:tmpl w:val="DB14FBFC"/>
    <w:lvl w:ilvl="0" w:tentative="0">
      <w:start w:val="3"/>
      <w:numFmt w:val="chineseCounting"/>
      <w:suff w:val="nothing"/>
      <w:lvlText w:val="%1、"/>
      <w:lvlJc w:val="left"/>
      <w:rPr>
        <w:rFonts w:hint="eastAsia"/>
      </w:rPr>
    </w:lvl>
  </w:abstractNum>
  <w:abstractNum w:abstractNumId="1">
    <w:nsid w:val="150540D8"/>
    <w:multiLevelType w:val="singleLevel"/>
    <w:tmpl w:val="150540D8"/>
    <w:lvl w:ilvl="0" w:tentative="0">
      <w:start w:val="4"/>
      <w:numFmt w:val="chineseCounting"/>
      <w:suff w:val="nothing"/>
      <w:lvlText w:val="%1、"/>
      <w:lvlJc w:val="left"/>
      <w:rPr>
        <w:rFonts w:hint="eastAsia"/>
      </w:rPr>
    </w:lvl>
  </w:abstractNum>
  <w:abstractNum w:abstractNumId="2">
    <w:nsid w:val="65DDF5C8"/>
    <w:multiLevelType w:val="singleLevel"/>
    <w:tmpl w:val="65DDF5C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YzIxNDNkZDljYmIxMTZhY2MyN2I5NDdlMWUxN2QifQ=="/>
  </w:docVars>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1BE4C9B"/>
    <w:rsid w:val="033523E3"/>
    <w:rsid w:val="05E87F43"/>
    <w:rsid w:val="06355FB8"/>
    <w:rsid w:val="08E42EAC"/>
    <w:rsid w:val="0C6A12ED"/>
    <w:rsid w:val="0D6A1909"/>
    <w:rsid w:val="0EAE424C"/>
    <w:rsid w:val="10137294"/>
    <w:rsid w:val="101E4239"/>
    <w:rsid w:val="10BB651B"/>
    <w:rsid w:val="125E2600"/>
    <w:rsid w:val="13132FDE"/>
    <w:rsid w:val="132E46A0"/>
    <w:rsid w:val="135556F4"/>
    <w:rsid w:val="13591D5A"/>
    <w:rsid w:val="14411117"/>
    <w:rsid w:val="14864ECB"/>
    <w:rsid w:val="150F49F0"/>
    <w:rsid w:val="1586116E"/>
    <w:rsid w:val="18BB4AD7"/>
    <w:rsid w:val="1A1963CF"/>
    <w:rsid w:val="1B4A3FDA"/>
    <w:rsid w:val="1B524C98"/>
    <w:rsid w:val="1C5E2F73"/>
    <w:rsid w:val="1CDC7D24"/>
    <w:rsid w:val="1D6E0C0D"/>
    <w:rsid w:val="1E3A083D"/>
    <w:rsid w:val="1EF768A5"/>
    <w:rsid w:val="1F82781A"/>
    <w:rsid w:val="20EF4457"/>
    <w:rsid w:val="221C15BB"/>
    <w:rsid w:val="23AD51D9"/>
    <w:rsid w:val="23E4344C"/>
    <w:rsid w:val="2706161D"/>
    <w:rsid w:val="29785A6B"/>
    <w:rsid w:val="2B547244"/>
    <w:rsid w:val="2B965042"/>
    <w:rsid w:val="2D1F3974"/>
    <w:rsid w:val="2D657953"/>
    <w:rsid w:val="2D733706"/>
    <w:rsid w:val="2DB52EF2"/>
    <w:rsid w:val="2E637505"/>
    <w:rsid w:val="30262C08"/>
    <w:rsid w:val="318C1BE0"/>
    <w:rsid w:val="31AA6038"/>
    <w:rsid w:val="33887EE3"/>
    <w:rsid w:val="34677C61"/>
    <w:rsid w:val="34F770EA"/>
    <w:rsid w:val="35CD61D7"/>
    <w:rsid w:val="36166754"/>
    <w:rsid w:val="362C1AC1"/>
    <w:rsid w:val="369D53DB"/>
    <w:rsid w:val="3B121AD1"/>
    <w:rsid w:val="3C0D61D4"/>
    <w:rsid w:val="3CFD0D2E"/>
    <w:rsid w:val="3FB83E12"/>
    <w:rsid w:val="402B7122"/>
    <w:rsid w:val="405B6512"/>
    <w:rsid w:val="40B24659"/>
    <w:rsid w:val="41603979"/>
    <w:rsid w:val="41B918B0"/>
    <w:rsid w:val="41CF436B"/>
    <w:rsid w:val="429F3097"/>
    <w:rsid w:val="434725C6"/>
    <w:rsid w:val="443B2E6C"/>
    <w:rsid w:val="4619368A"/>
    <w:rsid w:val="48032740"/>
    <w:rsid w:val="4BAF4F4C"/>
    <w:rsid w:val="4C3B4208"/>
    <w:rsid w:val="4D20509F"/>
    <w:rsid w:val="4D6E0FDF"/>
    <w:rsid w:val="4DC26F8C"/>
    <w:rsid w:val="4E9E38A3"/>
    <w:rsid w:val="4EE4307A"/>
    <w:rsid w:val="4F9B5CD0"/>
    <w:rsid w:val="51512CCC"/>
    <w:rsid w:val="5153143F"/>
    <w:rsid w:val="52CA3EBF"/>
    <w:rsid w:val="53CE3F8A"/>
    <w:rsid w:val="54F12DEE"/>
    <w:rsid w:val="54FF6D5F"/>
    <w:rsid w:val="55147C14"/>
    <w:rsid w:val="57AB4E8D"/>
    <w:rsid w:val="5846355E"/>
    <w:rsid w:val="5AF51126"/>
    <w:rsid w:val="5B8D564A"/>
    <w:rsid w:val="5BF414C0"/>
    <w:rsid w:val="5E600777"/>
    <w:rsid w:val="647B1EFB"/>
    <w:rsid w:val="65074FBA"/>
    <w:rsid w:val="66377D5A"/>
    <w:rsid w:val="670E54C6"/>
    <w:rsid w:val="687A7298"/>
    <w:rsid w:val="6B9E7E33"/>
    <w:rsid w:val="6C79734E"/>
    <w:rsid w:val="6CEE667B"/>
    <w:rsid w:val="6D1807BD"/>
    <w:rsid w:val="6FA52D7E"/>
    <w:rsid w:val="71086DB5"/>
    <w:rsid w:val="730F3BED"/>
    <w:rsid w:val="74047044"/>
    <w:rsid w:val="754F4216"/>
    <w:rsid w:val="75C31473"/>
    <w:rsid w:val="763B2EA0"/>
    <w:rsid w:val="76675743"/>
    <w:rsid w:val="76C2372B"/>
    <w:rsid w:val="78A557D6"/>
    <w:rsid w:val="7C3E5E46"/>
    <w:rsid w:val="7D99479D"/>
    <w:rsid w:val="7EE75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ody Text 3"/>
    <w:basedOn w:val="1"/>
    <w:next w:val="4"/>
    <w:qFormat/>
    <w:uiPriority w:val="0"/>
    <w:pPr>
      <w:spacing w:after="120"/>
    </w:pPr>
    <w:rPr>
      <w:rFonts w:ascii="等线" w:hAnsi="等线" w:eastAsia="等线" w:cs="等线"/>
      <w:sz w:val="16"/>
      <w:szCs w:val="16"/>
    </w:rPr>
  </w:style>
  <w:style w:type="paragraph" w:customStyle="1" w:styleId="4">
    <w:name w:val="Char1"/>
    <w:basedOn w:val="1"/>
    <w:qFormat/>
    <w:uiPriority w:val="99"/>
    <w:pPr>
      <w:ind w:left="840" w:hanging="420"/>
    </w:pPr>
    <w:rPr>
      <w:sz w:val="24"/>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2"/>
    <w:next w:val="2"/>
    <w:link w:val="15"/>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批注文字 字符"/>
    <w:basedOn w:val="12"/>
    <w:link w:val="2"/>
    <w:qFormat/>
    <w:uiPriority w:val="0"/>
    <w:rPr>
      <w:rFonts w:ascii="Calibri" w:hAnsi="Calibri" w:cs="黑体"/>
      <w:kern w:val="2"/>
      <w:sz w:val="21"/>
      <w:szCs w:val="24"/>
    </w:rPr>
  </w:style>
  <w:style w:type="character" w:customStyle="1" w:styleId="15">
    <w:name w:val="批注主题 字符"/>
    <w:basedOn w:val="14"/>
    <w:link w:val="9"/>
    <w:qFormat/>
    <w:uiPriority w:val="0"/>
    <w:rPr>
      <w:rFonts w:ascii="Calibri" w:hAnsi="Calibri" w:cs="黑体"/>
      <w:b/>
      <w:bCs/>
      <w:kern w:val="2"/>
      <w:sz w:val="21"/>
      <w:szCs w:val="24"/>
    </w:rPr>
  </w:style>
  <w:style w:type="character" w:customStyle="1" w:styleId="16">
    <w:name w:val="批注框文本 字符"/>
    <w:basedOn w:val="12"/>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2"/>
          <c:y val="0.110833333333333"/>
          <c:w val="0.86755"/>
          <c:h val="0.748566666666667"/>
        </c:manualLayout>
      </c:layout>
      <c:barChart>
        <c:barDir val="col"/>
        <c:grouping val="clustered"/>
        <c:varyColors val="0"/>
        <c:ser>
          <c:idx val="0"/>
          <c:order val="0"/>
          <c:tx>
            <c:strRef>
              <c:f>Sheet1!$B$1</c:f>
              <c:strCache>
                <c:ptCount val="1"/>
                <c:pt idx="0">
                  <c:v>2021年人员情况图表</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行政人员</c:v>
                </c:pt>
                <c:pt idx="1">
                  <c:v>事业人员</c:v>
                </c:pt>
                <c:pt idx="2">
                  <c:v>参公事业人员</c:v>
                </c:pt>
                <c:pt idx="3">
                  <c:v>工勤人员</c:v>
                </c:pt>
              </c:strCache>
            </c:strRef>
          </c:cat>
          <c:val>
            <c:numRef>
              <c:f>Sheet1!$B$2:$B$5</c:f>
              <c:numCache>
                <c:formatCode>General</c:formatCode>
                <c:ptCount val="4"/>
                <c:pt idx="0">
                  <c:v>9</c:v>
                </c:pt>
                <c:pt idx="1">
                  <c:v>0</c:v>
                </c:pt>
                <c:pt idx="2">
                  <c:v>0</c:v>
                </c:pt>
                <c:pt idx="3">
                  <c:v>0</c:v>
                </c:pt>
              </c:numCache>
            </c:numRef>
          </c:val>
        </c:ser>
        <c:dLbls>
          <c:showLegendKey val="0"/>
          <c:showVal val="1"/>
          <c:showCatName val="0"/>
          <c:showSerName val="0"/>
          <c:showPercent val="0"/>
          <c:showBubbleSize val="0"/>
        </c:dLbls>
        <c:gapWidth val="164"/>
        <c:overlap val="-22"/>
        <c:axId val="216489576"/>
        <c:axId val="491364200"/>
      </c:barChart>
      <c:catAx>
        <c:axId val="216489576"/>
        <c:scaling>
          <c:orientation val="minMax"/>
        </c:scaling>
        <c:delete val="0"/>
        <c:axPos val="b"/>
        <c:title>
          <c:tx>
            <c:rich>
              <a:bodyPr rot="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t>人员类型</a:t>
                </a:r>
              </a:p>
            </c:rich>
          </c:tx>
          <c:layout>
            <c:manualLayout>
              <c:xMode val="edge"/>
              <c:yMode val="edge"/>
              <c:x val="0.4751625"/>
              <c:y val="0.9255"/>
            </c:manualLayout>
          </c:layout>
          <c:overlay val="0"/>
          <c:spPr>
            <a:noFill/>
            <a:ln>
              <a:noFill/>
            </a:ln>
            <a:effectLst/>
          </c:spPr>
        </c:title>
        <c:majorTickMark val="none"/>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364200"/>
        <c:crosses val="autoZero"/>
        <c:auto val="1"/>
        <c:lblAlgn val="ctr"/>
        <c:lblOffset val="100"/>
        <c:noMultiLvlLbl val="0"/>
      </c:catAx>
      <c:valAx>
        <c:axId val="491364200"/>
        <c:scaling>
          <c:orientation val="minMax"/>
        </c:scaling>
        <c:delete val="0"/>
        <c:axPos val="l"/>
        <c:title>
          <c:tx>
            <c:rich>
              <a:bodyPr rot="-540000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t>人数</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648957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a:t>
            </a:r>
          </a:p>
        </c:rich>
      </c:tx>
      <c:layout/>
      <c:overlay val="0"/>
      <c:spPr>
        <a:noFill/>
        <a:ln>
          <a:noFill/>
        </a:ln>
        <a:effectLst/>
      </c:spPr>
    </c:title>
    <c:autoTitleDeleted val="0"/>
    <c:plotArea>
      <c:layout>
        <c:manualLayout>
          <c:layoutTarget val="inner"/>
          <c:xMode val="edge"/>
          <c:yMode val="edge"/>
          <c:x val="0.0652"/>
          <c:y val="0.1395"/>
          <c:w val="0.927925"/>
          <c:h val="0.7165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6062.77</c:v>
                </c:pt>
                <c:pt idx="1">
                  <c:v>6062.77</c:v>
                </c:pt>
              </c:numCache>
            </c:numRef>
          </c:val>
        </c:ser>
        <c:ser>
          <c:idx val="1"/>
          <c:order val="1"/>
          <c:tx>
            <c:strRef>
              <c:f>Sheet1!$C$1</c:f>
              <c:strCache>
                <c:ptCount val="1"/>
                <c:pt idx="0">
                  <c:v>2021年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4547.68</c:v>
                </c:pt>
                <c:pt idx="1">
                  <c:v>4547.68</c:v>
                </c:pt>
              </c:numCache>
            </c:numRef>
          </c:val>
        </c:ser>
        <c:dLbls>
          <c:showLegendKey val="0"/>
          <c:showVal val="1"/>
          <c:showCatName val="0"/>
          <c:showSerName val="0"/>
          <c:showPercent val="0"/>
          <c:showBubbleSize val="0"/>
        </c:dLbls>
        <c:gapWidth val="219"/>
        <c:overlap val="-27"/>
        <c:axId val="358499111"/>
        <c:axId val="168369891"/>
      </c:barChart>
      <c:catAx>
        <c:axId val="3584991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369891"/>
        <c:crosses val="autoZero"/>
        <c:auto val="1"/>
        <c:lblAlgn val="ctr"/>
        <c:lblOffset val="100"/>
        <c:noMultiLvlLbl val="0"/>
      </c:catAx>
      <c:valAx>
        <c:axId val="1683698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4991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2021年收入情况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0110118682257666"/>
                  <c:y val="-0.2544194270514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0905"/>
                      <c:h val="0.0923333333333333"/>
                    </c:manualLayout>
                  </c15:layout>
                </c:ext>
              </c:extLst>
            </c:dLbl>
            <c:dLbl>
              <c:idx val="3"/>
              <c:layout>
                <c:manualLayout>
                  <c:x val="0.0113403524206033"/>
                  <c:y val="0.19307994384543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071125"/>
                      <c:h val="0.1313333333333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财政收入</c:v>
                </c:pt>
                <c:pt idx="1">
                  <c:v>事业收入</c:v>
                </c:pt>
                <c:pt idx="2">
                  <c:v>经营收入</c:v>
                </c:pt>
                <c:pt idx="3">
                  <c:v>其他收入</c:v>
                </c:pt>
              </c:strCache>
            </c:strRef>
          </c:cat>
          <c:val>
            <c:numRef>
              <c:f>Sheet1!$B$2:$B$5</c:f>
              <c:numCache>
                <c:formatCode>General</c:formatCode>
                <c:ptCount val="4"/>
                <c:pt idx="0">
                  <c:v>4547.29</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2021年支出情况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a:t>
                    </a:r>
                    <a:r>
                      <a:t>%</a:t>
                    </a:r>
                  </a:p>
                </c:rich>
              </c:tx>
              <c:dLblPos val="out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96</a:t>
                    </a:r>
                    <a:r>
                      <a:t>%</a:t>
                    </a:r>
                  </a:p>
                </c:rich>
              </c:tx>
              <c:dLblPos val="out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a:t>
                    </a:r>
                    <a:r>
                      <a:t>%</a:t>
                    </a:r>
                  </a:p>
                </c:rich>
              </c:tx>
              <c:dLblPos val="out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181.9</c:v>
                </c:pt>
                <c:pt idx="1">
                  <c:v>4365.78</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财政拨款收入支出情况</a:t>
            </a:r>
          </a:p>
        </c:rich>
      </c:tx>
      <c:layout/>
      <c:overlay val="0"/>
      <c:spPr>
        <a:noFill/>
        <a:ln>
          <a:noFill/>
        </a:ln>
        <a:effectLst/>
      </c:spPr>
    </c:title>
    <c:autoTitleDeleted val="0"/>
    <c:plotArea>
      <c:layout>
        <c:manualLayout>
          <c:layoutTarget val="inner"/>
          <c:xMode val="edge"/>
          <c:yMode val="edge"/>
          <c:x val="0.0652"/>
          <c:y val="0.1395"/>
          <c:w val="0.927925"/>
          <c:h val="0.716566666666667"/>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财政支出</c:v>
                </c:pt>
                <c:pt idx="1">
                  <c:v>财政收入</c:v>
                </c:pt>
              </c:strCache>
            </c:strRef>
          </c:cat>
          <c:val>
            <c:numRef>
              <c:f>Sheet1!$B$2:$B$3</c:f>
              <c:numCache>
                <c:formatCode>General</c:formatCode>
                <c:ptCount val="2"/>
                <c:pt idx="0">
                  <c:v>6051.98</c:v>
                </c:pt>
                <c:pt idx="1">
                  <c:v>6051.98</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财政支出</c:v>
                </c:pt>
                <c:pt idx="1">
                  <c:v>财政收入</c:v>
                </c:pt>
              </c:strCache>
            </c:strRef>
          </c:cat>
          <c:val>
            <c:numRef>
              <c:f>Sheet1!$C$2:$C$3</c:f>
              <c:numCache>
                <c:formatCode>General</c:formatCode>
                <c:ptCount val="2"/>
                <c:pt idx="0">
                  <c:v>4547.29</c:v>
                </c:pt>
                <c:pt idx="1">
                  <c:v>4547.29</c:v>
                </c:pt>
              </c:numCache>
            </c:numRef>
          </c:val>
        </c:ser>
        <c:dLbls>
          <c:showLegendKey val="0"/>
          <c:showVal val="1"/>
          <c:showCatName val="0"/>
          <c:showSerName val="0"/>
          <c:showPercent val="0"/>
          <c:showBubbleSize val="0"/>
        </c:dLbls>
        <c:gapWidth val="219"/>
        <c:overlap val="-27"/>
        <c:axId val="358499111"/>
        <c:axId val="168369891"/>
      </c:barChart>
      <c:catAx>
        <c:axId val="3584991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369891"/>
        <c:crosses val="autoZero"/>
        <c:auto val="1"/>
        <c:lblAlgn val="ctr"/>
        <c:lblOffset val="100"/>
        <c:noMultiLvlLbl val="0"/>
      </c:catAx>
      <c:valAx>
        <c:axId val="1683698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84991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1</TotalTime>
  <ScaleCrop>false</ScaleCrop>
  <LinksUpToDate>false</LinksUpToDate>
  <CharactersWithSpaces>8778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猪之歌</cp:lastModifiedBy>
  <cp:lastPrinted>2021-09-17T09:15:00Z</cp:lastPrinted>
  <dcterms:modified xsi:type="dcterms:W3CDTF">2024-02-06T06:24:52Z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AB3FDB9FD987413490BB0A8CFB662D2A_13</vt:lpwstr>
  </property>
</Properties>
</file>