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4     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                    </w:t>
      </w:r>
    </w:p>
    <w:p>
      <w:pPr>
        <w:spacing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千阳县农村（城市）低收入家庭</w:t>
      </w:r>
      <w:r>
        <w:rPr>
          <w:rFonts w:hint="eastAsia" w:ascii="黑体" w:hAnsi="黑体" w:eastAsia="黑体" w:cs="Times New Roman"/>
          <w:sz w:val="32"/>
          <w:szCs w:val="32"/>
        </w:rPr>
        <w:t>不予批准告知书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 xml:space="preserve"> 村（社区）</w:t>
      </w:r>
      <w:r>
        <w:rPr>
          <w:rFonts w:hint="eastAsia" w:ascii="仿宋_GB2312" w:eastAsia="仿宋_GB2312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同志：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经调查核实及有关规定，您家庭不符合低收入认定条件，不予批准。原因是：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□申报材料不符合规定要求。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□不如实反映家庭情况。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□有劳动能力且具备劳动条件，不愿自食其力。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□有赌博、吸毒等违法行为且尚未改正。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□共同生活的家庭成员人均收入为</w:t>
      </w:r>
      <w:r>
        <w:rPr>
          <w:rFonts w:hint="eastAsia" w:ascii="仿宋_GB2312" w:eastAsia="仿宋_GB2312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 xml:space="preserve"> 元/月（年），超过本县农村（城市）低收入认定标准</w:t>
      </w:r>
      <w:r>
        <w:rPr>
          <w:rFonts w:hint="eastAsia" w:ascii="仿宋_GB2312" w:eastAsia="仿宋_GB2312" w:cs="Times New Roman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元/月（年）。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□家庭财产状况不符合低保家庭财产状况规定。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其它原因：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仿宋_GB2312" w:eastAsia="仿宋_GB2312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若对此决定有异议，可在接到本告知书之日起60日内依法向县级民政部门申请行政复议，或者6个月内向县级人民法院提起行政诉讼。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接收人签名：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镇人民政府（盖章）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right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 xml:space="preserve">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┅┅┅┅┅┅┅┅┅┅┅┅┅┅┅┅┅┅┅┅┅┅┅┅┅┅┅┅┅┅┅┅┅┅┅┅┅┅┅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千阳县农村（城市）低收入家庭</w:t>
      </w:r>
      <w:r>
        <w:rPr>
          <w:rFonts w:hint="eastAsia" w:ascii="黑体" w:hAnsi="黑体" w:eastAsia="黑体" w:cs="Times New Roman"/>
          <w:sz w:val="32"/>
          <w:szCs w:val="32"/>
        </w:rPr>
        <w:t>不予批准告知书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 xml:space="preserve"> 村（社区）</w:t>
      </w:r>
      <w:r>
        <w:rPr>
          <w:rFonts w:hint="eastAsia" w:ascii="仿宋_GB2312" w:eastAsia="仿宋_GB2312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同志：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经调查核实及有关规定，您家庭不符合低收入认定条件，不予批准。原因是：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□申报材料不符合规定要求。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□不如实反映家庭情况。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□有劳动能力且具备劳动条件，不愿自食其力。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□有赌博、吸毒等违法行为且尚未改正。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□共同生活的家庭成员人均收入为</w:t>
      </w:r>
      <w:r>
        <w:rPr>
          <w:rFonts w:hint="eastAsia" w:ascii="仿宋_GB2312" w:eastAsia="仿宋_GB2312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 xml:space="preserve"> 元/月（年），超过本县农村（城市）低收入认定标准</w:t>
      </w:r>
      <w:r>
        <w:rPr>
          <w:rFonts w:hint="eastAsia" w:ascii="仿宋_GB2312" w:eastAsia="仿宋_GB2312" w:cs="Times New Roman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元/月（年）。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□家庭财产状况不符合低保家庭财产状况规定。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其它原因：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仿宋_GB2312" w:eastAsia="仿宋_GB2312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若对此决定有异议，可在接到本告知书之日起60日内依法向县级民政部门申请行政复议，或者6个月内向县级人民法院提起行政诉讼。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接收人签名：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镇人民政府（盖章）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center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 xml:space="preserve">              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B209A"/>
    <w:rsid w:val="141B209A"/>
    <w:rsid w:val="6D535020"/>
    <w:rsid w:val="700E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2020-04-22T13:05:00Z</dcterms:created>
  <dc:creator>Administrator</dc:creator>
  <cp:lastModifiedBy>锦瑟</cp:lastModifiedBy>
  <dcterms:modified xsi:type="dcterms:W3CDTF">2021-04-01T09:30:38Z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